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F51" w:rsidRDefault="00994F51" w:rsidP="00994F51">
      <w:pPr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F51" w:rsidRDefault="00994F51" w:rsidP="00994F51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994F51" w:rsidRDefault="00994F51" w:rsidP="00994F51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</w:t>
      </w:r>
      <w:r>
        <w:rPr>
          <w:noProof/>
          <w:sz w:val="28"/>
        </w:rPr>
        <w:t>ЬКОГО РАЙОНУ  ЖИТОМИРСЬКОЇ ОБЛАСТІ</w:t>
      </w:r>
    </w:p>
    <w:p w:rsidR="00994F51" w:rsidRDefault="00994F51" w:rsidP="00994F51">
      <w:pPr>
        <w:pStyle w:val="5"/>
        <w:rPr>
          <w:lang w:val="uk-UA"/>
        </w:rPr>
      </w:pPr>
    </w:p>
    <w:p w:rsidR="00994F51" w:rsidRDefault="00994F51" w:rsidP="00994F51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:rsidR="00994F51" w:rsidRDefault="00994F51" w:rsidP="00994F51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994F51" w:rsidRDefault="00994F51" w:rsidP="00994F51">
      <w:pPr>
        <w:rPr>
          <w:lang w:val="uk-UA"/>
        </w:rPr>
      </w:pPr>
    </w:p>
    <w:p w:rsidR="00994F51" w:rsidRDefault="00994F51" w:rsidP="00994F51">
      <w:pPr>
        <w:rPr>
          <w:lang w:val="uk-UA"/>
        </w:rPr>
      </w:pPr>
    </w:p>
    <w:p w:rsidR="00994F51" w:rsidRDefault="007A3B00" w:rsidP="00994F5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17.03</w:t>
      </w:r>
      <w:r w:rsidR="00994F51">
        <w:rPr>
          <w:sz w:val="28"/>
          <w:szCs w:val="28"/>
          <w:lang w:val="uk-UA"/>
        </w:rPr>
        <w:t xml:space="preserve">.2021 р.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994F5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192</w:t>
      </w:r>
    </w:p>
    <w:p w:rsidR="00994F51" w:rsidRDefault="00994F51" w:rsidP="00994F51">
      <w:pPr>
        <w:jc w:val="center"/>
        <w:rPr>
          <w:b/>
          <w:sz w:val="28"/>
          <w:szCs w:val="28"/>
          <w:lang w:val="uk-UA"/>
        </w:rPr>
      </w:pPr>
    </w:p>
    <w:p w:rsidR="00994F51" w:rsidRDefault="00994F51" w:rsidP="00994F51">
      <w:pPr>
        <w:shd w:val="clear" w:color="auto" w:fill="FFFFFF"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середньої</w:t>
      </w:r>
    </w:p>
    <w:p w:rsidR="00994F51" w:rsidRDefault="00994F51" w:rsidP="00994F51">
      <w:pPr>
        <w:shd w:val="clear" w:color="auto" w:fill="FFFFFF"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вартості ритуальних послуг</w:t>
      </w:r>
    </w:p>
    <w:p w:rsidR="00994F51" w:rsidRDefault="00994F51" w:rsidP="00994F51">
      <w:pPr>
        <w:shd w:val="clear" w:color="auto" w:fill="FFFFFF"/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  <w:lang w:val="uk-UA"/>
        </w:rPr>
      </w:pPr>
    </w:p>
    <w:p w:rsidR="00007FC1" w:rsidRDefault="00994F51" w:rsidP="00007FC1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     </w:t>
      </w:r>
      <w:r w:rsidR="00007FC1" w:rsidRPr="001749BD">
        <w:rPr>
          <w:sz w:val="28"/>
          <w:szCs w:val="28"/>
          <w:lang w:val="uk-UA" w:eastAsia="ar-SA"/>
        </w:rPr>
        <w:t>Керуючись с</w:t>
      </w:r>
      <w:r w:rsidR="00007FC1">
        <w:rPr>
          <w:sz w:val="28"/>
          <w:szCs w:val="28"/>
          <w:lang w:val="uk-UA" w:eastAsia="ar-SA"/>
        </w:rPr>
        <w:t>таттями 30, 34, 52-54, 59 Закону України «</w:t>
      </w:r>
      <w:r w:rsidR="00007FC1" w:rsidRPr="001749BD">
        <w:rPr>
          <w:sz w:val="28"/>
          <w:szCs w:val="28"/>
          <w:lang w:val="uk-UA" w:eastAsia="ar-SA"/>
        </w:rPr>
        <w:t>Про м</w:t>
      </w:r>
      <w:r w:rsidR="00007FC1">
        <w:rPr>
          <w:sz w:val="28"/>
          <w:szCs w:val="28"/>
          <w:lang w:val="uk-UA" w:eastAsia="ar-SA"/>
        </w:rPr>
        <w:t>ісцеве самоврядування в Україні»</w:t>
      </w:r>
      <w:r w:rsidR="00007FC1" w:rsidRPr="001749BD">
        <w:rPr>
          <w:sz w:val="28"/>
          <w:szCs w:val="28"/>
          <w:lang w:val="uk-UA" w:eastAsia="ar-SA"/>
        </w:rPr>
        <w:t>,</w:t>
      </w:r>
      <w:r w:rsidR="00007FC1">
        <w:rPr>
          <w:sz w:val="28"/>
          <w:szCs w:val="28"/>
          <w:lang w:val="uk-UA" w:eastAsia="ar-SA"/>
        </w:rPr>
        <w:t xml:space="preserve"> відповідно до статті 14 Закону України «Про поховання та похоронну справу»,  постанови Кабінету Міністрів України від 28.10.2004 № 1445 «Про затвердження </w:t>
      </w:r>
      <w:r w:rsidR="00007FC1" w:rsidRPr="001749BD">
        <w:rPr>
          <w:sz w:val="28"/>
          <w:szCs w:val="28"/>
          <w:lang w:val="uk-UA" w:eastAsia="ar-SA"/>
        </w:rPr>
        <w:t>Порядк</w:t>
      </w:r>
      <w:r w:rsidR="00007FC1">
        <w:rPr>
          <w:sz w:val="28"/>
          <w:szCs w:val="28"/>
          <w:lang w:val="uk-UA" w:eastAsia="ar-SA"/>
        </w:rPr>
        <w:t>у</w:t>
      </w:r>
      <w:r w:rsidR="00007FC1" w:rsidRPr="001749BD">
        <w:rPr>
          <w:sz w:val="28"/>
          <w:szCs w:val="28"/>
          <w:lang w:val="uk-UA" w:eastAsia="ar-SA"/>
        </w:rPr>
        <w:t xml:space="preserve"> проведення безплатного поховання померлих (загиблих) осіб, які мають особливі заслуги та особливі труд</w:t>
      </w:r>
      <w:r w:rsidR="00007FC1">
        <w:rPr>
          <w:sz w:val="28"/>
          <w:szCs w:val="28"/>
          <w:lang w:val="uk-UA" w:eastAsia="ar-SA"/>
        </w:rPr>
        <w:t xml:space="preserve">ові заслуги перед Батьківщиною, </w:t>
      </w:r>
      <w:r w:rsidR="00007FC1" w:rsidRPr="001749BD">
        <w:rPr>
          <w:sz w:val="28"/>
          <w:szCs w:val="28"/>
          <w:lang w:val="uk-UA" w:eastAsia="ar-SA"/>
        </w:rPr>
        <w:t>учасників бойових дій,</w:t>
      </w:r>
      <w:r w:rsidR="00007FC1">
        <w:rPr>
          <w:sz w:val="28"/>
          <w:szCs w:val="28"/>
          <w:lang w:val="uk-UA" w:eastAsia="ar-SA"/>
        </w:rPr>
        <w:t xml:space="preserve"> постраждалих учасників Революції  Гідності і осіб з інвалідністю внаслідок війни» (зі змінами), наказу Державного</w:t>
      </w:r>
      <w:r w:rsidR="00007FC1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комітету України з питань</w:t>
      </w:r>
      <w:r w:rsidR="00007FC1" w:rsidRPr="001749BD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 </w:t>
      </w:r>
      <w:r w:rsidR="00007FC1">
        <w:rPr>
          <w:color w:val="000000"/>
          <w:sz w:val="28"/>
          <w:szCs w:val="28"/>
          <w:shd w:val="clear" w:color="auto" w:fill="FFFFFF"/>
          <w:lang w:val="uk-UA" w:eastAsia="ar-SA"/>
        </w:rPr>
        <w:t xml:space="preserve">житлово-комунального господарства від 19.11.2003 № 193 «Про затвердження нормативно-правових актів щодо  реалізації Закону України «Про поховання та похоронну справу», </w:t>
      </w:r>
      <w:r w:rsidR="00007FC1" w:rsidRPr="001749BD">
        <w:rPr>
          <w:sz w:val="28"/>
          <w:szCs w:val="28"/>
          <w:lang w:val="uk-UA" w:eastAsia="ar-SA"/>
        </w:rPr>
        <w:t xml:space="preserve">враховуючи розпорядження голови обласної державної адміністрації від </w:t>
      </w:r>
      <w:r w:rsidR="00007FC1">
        <w:rPr>
          <w:sz w:val="28"/>
          <w:szCs w:val="28"/>
          <w:lang w:val="uk-UA" w:eastAsia="ar-SA"/>
        </w:rPr>
        <w:t>31</w:t>
      </w:r>
      <w:r w:rsidR="00007FC1" w:rsidRPr="001749BD">
        <w:rPr>
          <w:sz w:val="28"/>
          <w:szCs w:val="28"/>
          <w:lang w:val="uk-UA" w:eastAsia="ar-SA"/>
        </w:rPr>
        <w:t>.0</w:t>
      </w:r>
      <w:r w:rsidR="00007FC1">
        <w:rPr>
          <w:sz w:val="28"/>
          <w:szCs w:val="28"/>
          <w:lang w:val="uk-UA" w:eastAsia="ar-SA"/>
        </w:rPr>
        <w:t>3</w:t>
      </w:r>
      <w:r w:rsidR="00007FC1" w:rsidRPr="001749BD">
        <w:rPr>
          <w:sz w:val="28"/>
          <w:szCs w:val="28"/>
          <w:lang w:val="uk-UA" w:eastAsia="ar-SA"/>
        </w:rPr>
        <w:t>.20</w:t>
      </w:r>
      <w:r w:rsidR="00007FC1">
        <w:rPr>
          <w:sz w:val="28"/>
          <w:szCs w:val="28"/>
          <w:lang w:val="uk-UA" w:eastAsia="ar-SA"/>
        </w:rPr>
        <w:t>20 № 232</w:t>
      </w:r>
      <w:r w:rsidR="00007FC1" w:rsidRPr="001749BD">
        <w:rPr>
          <w:sz w:val="28"/>
          <w:szCs w:val="28"/>
          <w:lang w:val="uk-UA" w:eastAsia="ar-SA"/>
        </w:rPr>
        <w:t xml:space="preserve"> </w:t>
      </w:r>
      <w:r w:rsidR="00007FC1">
        <w:rPr>
          <w:sz w:val="28"/>
          <w:szCs w:val="28"/>
          <w:lang w:val="uk-UA" w:eastAsia="ar-SA"/>
        </w:rPr>
        <w:t>«</w:t>
      </w:r>
      <w:r w:rsidR="00007FC1" w:rsidRPr="001749BD">
        <w:rPr>
          <w:sz w:val="28"/>
          <w:szCs w:val="28"/>
          <w:lang w:val="uk-UA" w:eastAsia="ar-SA"/>
        </w:rPr>
        <w:t>Про затвердження Порядку відшкодування витрат на поховання учасників бойових дій</w:t>
      </w:r>
      <w:r w:rsidR="00007FC1">
        <w:rPr>
          <w:sz w:val="28"/>
          <w:szCs w:val="28"/>
          <w:lang w:val="uk-UA" w:eastAsia="ar-SA"/>
        </w:rPr>
        <w:t>, постраждалих учасників Революції Гідності та осіб з інвалідністю внаслідок війни»</w:t>
      </w:r>
      <w:r w:rsidR="00007FC1" w:rsidRPr="001749BD">
        <w:rPr>
          <w:sz w:val="28"/>
          <w:szCs w:val="28"/>
          <w:lang w:val="uk-UA" w:eastAsia="ar-SA"/>
        </w:rPr>
        <w:t xml:space="preserve">, </w:t>
      </w:r>
      <w:r w:rsidR="00007FC1">
        <w:rPr>
          <w:sz w:val="28"/>
          <w:szCs w:val="28"/>
          <w:lang w:val="uk-UA" w:eastAsia="ar-SA"/>
        </w:rPr>
        <w:t xml:space="preserve">розглянувши </w:t>
      </w:r>
      <w:r w:rsidR="00007FC1" w:rsidRPr="001749BD">
        <w:rPr>
          <w:sz w:val="28"/>
          <w:szCs w:val="28"/>
          <w:lang w:val="uk-UA" w:eastAsia="ar-SA"/>
        </w:rPr>
        <w:t xml:space="preserve">лист </w:t>
      </w:r>
      <w:r w:rsidR="00007FC1">
        <w:rPr>
          <w:sz w:val="28"/>
          <w:szCs w:val="28"/>
          <w:lang w:val="uk-UA" w:eastAsia="ar-SA"/>
        </w:rPr>
        <w:t>Управління</w:t>
      </w:r>
      <w:r w:rsidR="00007FC1" w:rsidRPr="001749BD">
        <w:rPr>
          <w:sz w:val="28"/>
          <w:szCs w:val="28"/>
          <w:lang w:val="uk-UA" w:eastAsia="ar-SA"/>
        </w:rPr>
        <w:t xml:space="preserve"> праці</w:t>
      </w:r>
      <w:r w:rsidR="00007FC1">
        <w:rPr>
          <w:sz w:val="28"/>
          <w:szCs w:val="28"/>
          <w:lang w:val="uk-UA" w:eastAsia="ar-SA"/>
        </w:rPr>
        <w:t xml:space="preserve"> та </w:t>
      </w:r>
      <w:r w:rsidR="00007FC1" w:rsidRPr="001749BD">
        <w:rPr>
          <w:sz w:val="28"/>
          <w:szCs w:val="28"/>
          <w:lang w:val="uk-UA" w:eastAsia="ar-SA"/>
        </w:rPr>
        <w:t>соціально</w:t>
      </w:r>
      <w:r w:rsidR="00007FC1">
        <w:rPr>
          <w:sz w:val="28"/>
          <w:szCs w:val="28"/>
          <w:lang w:val="uk-UA" w:eastAsia="ar-SA"/>
        </w:rPr>
        <w:t xml:space="preserve">го захисту населення </w:t>
      </w:r>
      <w:proofErr w:type="spellStart"/>
      <w:r w:rsidR="00007FC1">
        <w:rPr>
          <w:sz w:val="28"/>
          <w:szCs w:val="28"/>
          <w:lang w:val="uk-UA" w:eastAsia="ar-SA"/>
        </w:rPr>
        <w:t>Брусилівської</w:t>
      </w:r>
      <w:proofErr w:type="spellEnd"/>
      <w:r w:rsidR="00007FC1">
        <w:rPr>
          <w:sz w:val="28"/>
          <w:szCs w:val="28"/>
          <w:lang w:val="uk-UA" w:eastAsia="ar-SA"/>
        </w:rPr>
        <w:t xml:space="preserve"> районної державної адміністрації</w:t>
      </w:r>
      <w:r w:rsidR="00007FC1" w:rsidRPr="001749BD">
        <w:rPr>
          <w:sz w:val="28"/>
          <w:szCs w:val="28"/>
          <w:lang w:val="uk-UA" w:eastAsia="ar-SA"/>
        </w:rPr>
        <w:t xml:space="preserve"> від </w:t>
      </w:r>
      <w:r w:rsidR="00007FC1">
        <w:rPr>
          <w:sz w:val="28"/>
          <w:szCs w:val="28"/>
          <w:lang w:val="uk-UA" w:eastAsia="ar-SA"/>
        </w:rPr>
        <w:t>23</w:t>
      </w:r>
      <w:r w:rsidR="00007FC1" w:rsidRPr="001749BD">
        <w:rPr>
          <w:sz w:val="28"/>
          <w:szCs w:val="28"/>
          <w:lang w:val="uk-UA" w:eastAsia="ar-SA"/>
        </w:rPr>
        <w:t>.0</w:t>
      </w:r>
      <w:r w:rsidR="00007FC1">
        <w:rPr>
          <w:sz w:val="28"/>
          <w:szCs w:val="28"/>
          <w:lang w:val="uk-UA" w:eastAsia="ar-SA"/>
        </w:rPr>
        <w:t>2</w:t>
      </w:r>
      <w:r w:rsidR="00007FC1" w:rsidRPr="001749BD">
        <w:rPr>
          <w:sz w:val="28"/>
          <w:szCs w:val="28"/>
          <w:lang w:val="uk-UA" w:eastAsia="ar-SA"/>
        </w:rPr>
        <w:t>.202</w:t>
      </w:r>
      <w:r w:rsidR="00007FC1">
        <w:rPr>
          <w:sz w:val="28"/>
          <w:szCs w:val="28"/>
          <w:lang w:val="uk-UA" w:eastAsia="ar-SA"/>
        </w:rPr>
        <w:t>1 №146</w:t>
      </w:r>
      <w:r w:rsidR="00007FC1" w:rsidRPr="001749BD">
        <w:rPr>
          <w:sz w:val="28"/>
          <w:szCs w:val="28"/>
          <w:lang w:val="uk-UA" w:eastAsia="ar-SA"/>
        </w:rPr>
        <w:t>/</w:t>
      </w:r>
      <w:r w:rsidR="00007FC1">
        <w:rPr>
          <w:sz w:val="28"/>
          <w:szCs w:val="28"/>
          <w:lang w:val="uk-UA" w:eastAsia="ar-SA"/>
        </w:rPr>
        <w:t>01 та лист Д</w:t>
      </w:r>
      <w:r w:rsidR="00007FC1" w:rsidRPr="001749BD">
        <w:rPr>
          <w:sz w:val="28"/>
          <w:szCs w:val="28"/>
          <w:lang w:val="uk-UA" w:eastAsia="ar-SA"/>
        </w:rPr>
        <w:t xml:space="preserve">епартаменту праці, соціальної та сімейної політики Житомирської обласної державної адміністрації від </w:t>
      </w:r>
      <w:r w:rsidR="00007FC1">
        <w:rPr>
          <w:sz w:val="28"/>
          <w:szCs w:val="28"/>
          <w:lang w:val="uk-UA" w:eastAsia="ar-SA"/>
        </w:rPr>
        <w:t>15</w:t>
      </w:r>
      <w:r w:rsidR="00007FC1" w:rsidRPr="001749BD">
        <w:rPr>
          <w:sz w:val="28"/>
          <w:szCs w:val="28"/>
          <w:lang w:val="uk-UA" w:eastAsia="ar-SA"/>
        </w:rPr>
        <w:t>.01.202</w:t>
      </w:r>
      <w:r w:rsidR="00007FC1">
        <w:rPr>
          <w:sz w:val="28"/>
          <w:szCs w:val="28"/>
          <w:lang w:val="uk-UA" w:eastAsia="ar-SA"/>
        </w:rPr>
        <w:t>1</w:t>
      </w:r>
      <w:r w:rsidR="00007FC1" w:rsidRPr="001749BD">
        <w:rPr>
          <w:sz w:val="28"/>
          <w:szCs w:val="28"/>
          <w:lang w:val="uk-UA" w:eastAsia="ar-SA"/>
        </w:rPr>
        <w:t xml:space="preserve"> №</w:t>
      </w:r>
      <w:r w:rsidR="00007FC1">
        <w:rPr>
          <w:sz w:val="28"/>
          <w:szCs w:val="28"/>
          <w:lang w:val="uk-UA" w:eastAsia="ar-SA"/>
        </w:rPr>
        <w:t xml:space="preserve"> </w:t>
      </w:r>
      <w:r w:rsidR="00007FC1" w:rsidRPr="001749BD">
        <w:rPr>
          <w:sz w:val="28"/>
          <w:szCs w:val="28"/>
          <w:lang w:val="uk-UA" w:eastAsia="ar-SA"/>
        </w:rPr>
        <w:t>04/</w:t>
      </w:r>
      <w:r w:rsidR="00007FC1">
        <w:rPr>
          <w:sz w:val="28"/>
          <w:szCs w:val="28"/>
          <w:lang w:val="uk-UA" w:eastAsia="ar-SA"/>
        </w:rPr>
        <w:t>42</w:t>
      </w:r>
      <w:r w:rsidR="00007FC1" w:rsidRPr="001749BD">
        <w:rPr>
          <w:sz w:val="28"/>
          <w:szCs w:val="28"/>
          <w:lang w:val="uk-UA" w:eastAsia="ar-SA"/>
        </w:rPr>
        <w:t xml:space="preserve">, </w:t>
      </w:r>
      <w:r w:rsidR="00007FC1" w:rsidRPr="00930D35">
        <w:rPr>
          <w:sz w:val="28"/>
          <w:szCs w:val="28"/>
          <w:lang w:val="uk-UA"/>
        </w:rPr>
        <w:t xml:space="preserve">виконавчий комітет селищної ради </w:t>
      </w:r>
    </w:p>
    <w:p w:rsidR="00007FC1" w:rsidRPr="00930D35" w:rsidRDefault="00007FC1" w:rsidP="00007FC1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</w:p>
    <w:p w:rsidR="00994F51" w:rsidRDefault="00994F51" w:rsidP="00007FC1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07FC1" w:rsidRDefault="00007FC1" w:rsidP="00007FC1">
      <w:pPr>
        <w:shd w:val="clear" w:color="auto" w:fill="FFFFFF"/>
        <w:spacing w:line="360" w:lineRule="atLeast"/>
        <w:jc w:val="both"/>
        <w:rPr>
          <w:sz w:val="28"/>
          <w:szCs w:val="28"/>
          <w:lang w:val="uk-UA"/>
        </w:rPr>
      </w:pPr>
    </w:p>
    <w:p w:rsidR="00007FC1" w:rsidRDefault="00994F51" w:rsidP="00007FC1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7FC1">
        <w:rPr>
          <w:sz w:val="28"/>
          <w:szCs w:val="28"/>
          <w:lang w:val="uk-UA"/>
        </w:rPr>
        <w:t xml:space="preserve">1. </w:t>
      </w:r>
      <w:r w:rsidR="00007FC1" w:rsidRPr="00432F2F">
        <w:rPr>
          <w:sz w:val="28"/>
          <w:szCs w:val="28"/>
          <w:lang w:val="uk-UA"/>
        </w:rPr>
        <w:t xml:space="preserve">Інформацію </w:t>
      </w:r>
      <w:r w:rsidR="00007FC1">
        <w:rPr>
          <w:sz w:val="28"/>
          <w:szCs w:val="28"/>
          <w:lang w:val="uk-UA"/>
        </w:rPr>
        <w:t xml:space="preserve"> </w:t>
      </w:r>
      <w:r w:rsidR="00007FC1" w:rsidRPr="00432F2F">
        <w:rPr>
          <w:sz w:val="28"/>
          <w:szCs w:val="28"/>
          <w:lang w:val="uk-UA"/>
        </w:rPr>
        <w:t>начальника</w:t>
      </w:r>
      <w:r w:rsidR="00007FC1">
        <w:rPr>
          <w:sz w:val="28"/>
          <w:szCs w:val="28"/>
          <w:lang w:val="uk-UA"/>
        </w:rPr>
        <w:t xml:space="preserve"> </w:t>
      </w:r>
      <w:r w:rsidR="00007FC1" w:rsidRPr="00432F2F">
        <w:rPr>
          <w:sz w:val="28"/>
          <w:szCs w:val="28"/>
          <w:lang w:val="uk-UA"/>
        </w:rPr>
        <w:t xml:space="preserve"> відділу комунальної</w:t>
      </w:r>
      <w:r w:rsidR="00007FC1">
        <w:rPr>
          <w:sz w:val="28"/>
          <w:szCs w:val="28"/>
          <w:lang w:val="uk-UA"/>
        </w:rPr>
        <w:t xml:space="preserve"> </w:t>
      </w:r>
      <w:r w:rsidR="00007FC1" w:rsidRPr="00432F2F">
        <w:rPr>
          <w:sz w:val="28"/>
          <w:szCs w:val="28"/>
          <w:lang w:val="uk-UA"/>
        </w:rPr>
        <w:t xml:space="preserve"> власності</w:t>
      </w:r>
      <w:r w:rsidR="00007FC1">
        <w:rPr>
          <w:sz w:val="28"/>
          <w:szCs w:val="28"/>
          <w:lang w:val="uk-UA"/>
        </w:rPr>
        <w:t xml:space="preserve"> </w:t>
      </w:r>
      <w:r w:rsidR="00007FC1" w:rsidRPr="00432F2F">
        <w:rPr>
          <w:sz w:val="28"/>
          <w:szCs w:val="28"/>
          <w:lang w:val="uk-UA"/>
        </w:rPr>
        <w:t xml:space="preserve"> селищної ради</w:t>
      </w:r>
      <w:r w:rsidR="00007FC1">
        <w:rPr>
          <w:sz w:val="28"/>
          <w:szCs w:val="28"/>
          <w:lang w:val="uk-UA"/>
        </w:rPr>
        <w:t xml:space="preserve"> </w:t>
      </w:r>
      <w:proofErr w:type="spellStart"/>
      <w:r w:rsidR="00007FC1" w:rsidRPr="00432F2F">
        <w:rPr>
          <w:sz w:val="28"/>
          <w:szCs w:val="28"/>
          <w:lang w:val="uk-UA"/>
        </w:rPr>
        <w:t>Бортнічук</w:t>
      </w:r>
      <w:proofErr w:type="spellEnd"/>
      <w:r w:rsidR="00007FC1" w:rsidRPr="00432F2F">
        <w:rPr>
          <w:sz w:val="28"/>
          <w:szCs w:val="28"/>
          <w:lang w:val="uk-UA"/>
        </w:rPr>
        <w:t xml:space="preserve"> Т.Й. </w:t>
      </w:r>
      <w:r w:rsidR="00007FC1">
        <w:rPr>
          <w:sz w:val="28"/>
          <w:szCs w:val="28"/>
          <w:lang w:val="uk-UA"/>
        </w:rPr>
        <w:t xml:space="preserve">про результати проведеного моніторингу вартості ритуальних послуг на одне поховання станом на 01.01.2021 на території </w:t>
      </w:r>
      <w:proofErr w:type="spellStart"/>
      <w:r w:rsidR="00007FC1">
        <w:rPr>
          <w:sz w:val="28"/>
          <w:szCs w:val="28"/>
          <w:lang w:val="uk-UA"/>
        </w:rPr>
        <w:t>Брусилівської</w:t>
      </w:r>
      <w:proofErr w:type="spellEnd"/>
      <w:r w:rsidR="00007FC1">
        <w:rPr>
          <w:sz w:val="28"/>
          <w:szCs w:val="28"/>
          <w:lang w:val="uk-UA"/>
        </w:rPr>
        <w:t xml:space="preserve"> селищної територіальної громади </w:t>
      </w:r>
      <w:r w:rsidR="00007FC1" w:rsidRPr="00432F2F">
        <w:rPr>
          <w:sz w:val="28"/>
          <w:szCs w:val="28"/>
          <w:lang w:val="uk-UA"/>
        </w:rPr>
        <w:t>взяти до відома</w:t>
      </w:r>
      <w:r w:rsidR="00007FC1">
        <w:rPr>
          <w:sz w:val="28"/>
          <w:szCs w:val="28"/>
          <w:lang w:val="uk-UA"/>
        </w:rPr>
        <w:t xml:space="preserve"> (додаток 1)</w:t>
      </w:r>
      <w:r w:rsidR="00007FC1" w:rsidRPr="00432F2F">
        <w:rPr>
          <w:sz w:val="28"/>
          <w:szCs w:val="28"/>
          <w:lang w:val="uk-UA"/>
        </w:rPr>
        <w:t>.</w:t>
      </w:r>
    </w:p>
    <w:p w:rsidR="00007FC1" w:rsidRDefault="00007FC1" w:rsidP="00007FC1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</w:p>
    <w:p w:rsidR="00007FC1" w:rsidRDefault="00007FC1" w:rsidP="00007FC1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lastRenderedPageBreak/>
        <w:t xml:space="preserve">            2. </w:t>
      </w:r>
      <w:r w:rsidRPr="001749BD">
        <w:rPr>
          <w:sz w:val="28"/>
          <w:szCs w:val="28"/>
          <w:lang w:val="uk-UA" w:eastAsia="ar-SA"/>
        </w:rPr>
        <w:t xml:space="preserve">Затвердити </w:t>
      </w:r>
      <w:r>
        <w:rPr>
          <w:sz w:val="28"/>
          <w:szCs w:val="28"/>
          <w:lang w:val="uk-UA" w:eastAsia="ar-SA"/>
        </w:rPr>
        <w:t xml:space="preserve">розрахунок </w:t>
      </w:r>
      <w:r w:rsidRPr="001749BD">
        <w:rPr>
          <w:sz w:val="28"/>
          <w:szCs w:val="28"/>
          <w:lang w:val="uk-UA" w:eastAsia="ar-SA"/>
        </w:rPr>
        <w:t>середн</w:t>
      </w:r>
      <w:r>
        <w:rPr>
          <w:sz w:val="28"/>
          <w:szCs w:val="28"/>
          <w:lang w:val="uk-UA" w:eastAsia="ar-SA"/>
        </w:rPr>
        <w:t>ьої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ості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станом на 01.01.2021 (додаток 2).</w:t>
      </w:r>
    </w:p>
    <w:p w:rsidR="00007FC1" w:rsidRDefault="00007FC1" w:rsidP="00007FC1">
      <w:pPr>
        <w:suppressAutoHyphens/>
        <w:jc w:val="both"/>
        <w:rPr>
          <w:sz w:val="28"/>
          <w:szCs w:val="28"/>
          <w:lang w:val="uk-UA" w:eastAsia="ar-SA"/>
        </w:rPr>
      </w:pPr>
    </w:p>
    <w:p w:rsidR="00007FC1" w:rsidRDefault="00007FC1" w:rsidP="00007FC1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3. Затвердити </w:t>
      </w:r>
      <w:r w:rsidRPr="001749BD">
        <w:rPr>
          <w:sz w:val="28"/>
          <w:szCs w:val="28"/>
          <w:lang w:val="uk-UA" w:eastAsia="ar-SA"/>
        </w:rPr>
        <w:t>середн</w:t>
      </w:r>
      <w:r>
        <w:rPr>
          <w:sz w:val="28"/>
          <w:szCs w:val="28"/>
          <w:lang w:val="uk-UA" w:eastAsia="ar-SA"/>
        </w:rPr>
        <w:t>ю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ість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станом на 01.01.2021 в розмірі 7050,00 гривень в розрізі наступних окремих видів ритуальних послуг: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EE369A">
        <w:rPr>
          <w:sz w:val="28"/>
          <w:szCs w:val="28"/>
          <w:lang w:val="uk-UA"/>
        </w:rPr>
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 – 2000,00 грн.;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proofErr w:type="spellStart"/>
      <w:r w:rsidRPr="00EE369A">
        <w:rPr>
          <w:sz w:val="28"/>
          <w:szCs w:val="28"/>
        </w:rPr>
        <w:t>оставка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предметів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похоронної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належності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</w:t>
      </w:r>
      <w:proofErr w:type="spellStart"/>
      <w:r w:rsidRPr="00EE369A">
        <w:rPr>
          <w:sz w:val="28"/>
          <w:szCs w:val="28"/>
        </w:rPr>
        <w:t>завантаження</w:t>
      </w:r>
      <w:proofErr w:type="spellEnd"/>
      <w:r w:rsidRPr="00EE369A">
        <w:rPr>
          <w:sz w:val="28"/>
          <w:szCs w:val="28"/>
        </w:rPr>
        <w:t xml:space="preserve"> на </w:t>
      </w:r>
      <w:proofErr w:type="spellStart"/>
      <w:r w:rsidRPr="00EE369A">
        <w:rPr>
          <w:sz w:val="28"/>
          <w:szCs w:val="28"/>
        </w:rPr>
        <w:t>складі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перевезення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вивантаження</w:t>
      </w:r>
      <w:proofErr w:type="spellEnd"/>
      <w:r w:rsidRPr="00EE369A">
        <w:rPr>
          <w:sz w:val="28"/>
          <w:szCs w:val="28"/>
        </w:rPr>
        <w:t xml:space="preserve"> на</w:t>
      </w:r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місці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призначення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 xml:space="preserve">та </w:t>
      </w:r>
      <w:proofErr w:type="spellStart"/>
      <w:r w:rsidRPr="00EE369A">
        <w:rPr>
          <w:sz w:val="28"/>
          <w:szCs w:val="28"/>
        </w:rPr>
        <w:t>перенесення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знаходження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тіла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350,00 грн.;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EE369A">
        <w:rPr>
          <w:sz w:val="28"/>
          <w:szCs w:val="28"/>
        </w:rPr>
        <w:t>адання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автокатафалк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автобус супроводження</w:t>
      </w:r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800,00 грн.;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Pr="00EE369A">
        <w:rPr>
          <w:sz w:val="28"/>
          <w:szCs w:val="28"/>
        </w:rPr>
        <w:t>еренесення</w:t>
      </w:r>
      <w:proofErr w:type="spellEnd"/>
      <w:r w:rsidRPr="00EE369A">
        <w:rPr>
          <w:sz w:val="28"/>
          <w:szCs w:val="28"/>
        </w:rPr>
        <w:t xml:space="preserve"> труни з </w:t>
      </w:r>
      <w:proofErr w:type="spellStart"/>
      <w:r w:rsidRPr="00EE369A">
        <w:rPr>
          <w:sz w:val="28"/>
          <w:szCs w:val="28"/>
        </w:rPr>
        <w:t>тілом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 xml:space="preserve">), до моргу, з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>), моргу</w:t>
      </w:r>
      <w:r w:rsidRPr="00EE369A">
        <w:rPr>
          <w:sz w:val="28"/>
          <w:szCs w:val="28"/>
          <w:lang w:val="uk-UA"/>
        </w:rPr>
        <w:t>,</w:t>
      </w:r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поховання</w:t>
      </w:r>
      <w:proofErr w:type="spellEnd"/>
      <w:r w:rsidRPr="00EE369A">
        <w:rPr>
          <w:sz w:val="28"/>
          <w:szCs w:val="28"/>
        </w:rPr>
        <w:t xml:space="preserve">  </w:t>
      </w:r>
      <w:r w:rsidRPr="00EE369A">
        <w:rPr>
          <w:sz w:val="28"/>
          <w:szCs w:val="28"/>
          <w:lang w:val="uk-UA"/>
        </w:rPr>
        <w:t>- 400,00 грн.;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т</w:t>
      </w:r>
      <w:r w:rsidRPr="00EE369A">
        <w:rPr>
          <w:sz w:val="28"/>
          <w:szCs w:val="28"/>
        </w:rPr>
        <w:t>рун</w:t>
      </w:r>
      <w:r w:rsidRPr="00EE369A">
        <w:rPr>
          <w:sz w:val="28"/>
          <w:szCs w:val="28"/>
          <w:lang w:val="uk-UA"/>
        </w:rPr>
        <w:t>и – 1600,00 грн.;</w:t>
      </w:r>
    </w:p>
    <w:p w:rsidR="00007FC1" w:rsidRPr="00EE369A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EE369A">
        <w:rPr>
          <w:sz w:val="28"/>
          <w:szCs w:val="28"/>
          <w:lang w:val="uk-UA"/>
        </w:rPr>
        <w:t>рганізація поховання і проведення ритуалу – 1500,00 грн.;</w:t>
      </w:r>
    </w:p>
    <w:p w:rsidR="00007FC1" w:rsidRDefault="00007FC1" w:rsidP="00007FC1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вінка похоронного з траурною стрічкою (з написом чи без нього) – 400,00 грн.</w:t>
      </w:r>
    </w:p>
    <w:p w:rsidR="00007FC1" w:rsidRDefault="00007FC1" w:rsidP="00007FC1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07FC1" w:rsidRDefault="00007FC1" w:rsidP="00007FC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</w:t>
      </w:r>
      <w:r w:rsidRPr="00951E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Доручити відділу комунальної власності селищної ради  (</w:t>
      </w:r>
      <w:proofErr w:type="spellStart"/>
      <w:r>
        <w:rPr>
          <w:sz w:val="28"/>
          <w:szCs w:val="28"/>
          <w:lang w:val="uk-UA"/>
        </w:rPr>
        <w:t>Бортнічук</w:t>
      </w:r>
      <w:proofErr w:type="spellEnd"/>
      <w:r>
        <w:rPr>
          <w:sz w:val="28"/>
          <w:szCs w:val="28"/>
          <w:lang w:val="uk-UA"/>
        </w:rPr>
        <w:t xml:space="preserve"> Т.Й.) підготувати довідку про </w:t>
      </w:r>
      <w:r w:rsidRPr="001749BD">
        <w:rPr>
          <w:sz w:val="28"/>
          <w:szCs w:val="28"/>
          <w:lang w:val="uk-UA" w:eastAsia="ar-SA"/>
        </w:rPr>
        <w:t>середн</w:t>
      </w:r>
      <w:r>
        <w:rPr>
          <w:sz w:val="28"/>
          <w:szCs w:val="28"/>
          <w:lang w:val="uk-UA" w:eastAsia="ar-SA"/>
        </w:rPr>
        <w:t>ю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ість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станом на 01.01.2021 та надати її за підписом селищного голови до Житомирської районної державної ад</w:t>
      </w:r>
      <w:r w:rsidR="00FF01B7">
        <w:rPr>
          <w:sz w:val="28"/>
          <w:szCs w:val="28"/>
          <w:lang w:val="uk-UA" w:eastAsia="ar-SA"/>
        </w:rPr>
        <w:t>міністрації</w:t>
      </w:r>
      <w:r>
        <w:rPr>
          <w:sz w:val="28"/>
          <w:szCs w:val="28"/>
          <w:lang w:val="uk-UA" w:eastAsia="ar-SA"/>
        </w:rPr>
        <w:t xml:space="preserve"> Житомирської області.</w:t>
      </w:r>
      <w:r>
        <w:rPr>
          <w:sz w:val="28"/>
          <w:szCs w:val="28"/>
          <w:lang w:val="uk-UA"/>
        </w:rPr>
        <w:t xml:space="preserve"> </w:t>
      </w:r>
    </w:p>
    <w:p w:rsidR="00007FC1" w:rsidRPr="00951E2D" w:rsidRDefault="00007FC1" w:rsidP="00007FC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7FC1" w:rsidRDefault="00007FC1" w:rsidP="00007FC1">
      <w:pPr>
        <w:tabs>
          <w:tab w:val="left" w:pos="900"/>
          <w:tab w:val="left" w:pos="138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5</w:t>
      </w:r>
      <w:r w:rsidRPr="00951E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32F2F">
        <w:rPr>
          <w:sz w:val="28"/>
          <w:szCs w:val="28"/>
          <w:lang w:val="uk-UA"/>
        </w:rPr>
        <w:t>Конт</w:t>
      </w:r>
      <w:r>
        <w:rPr>
          <w:sz w:val="28"/>
          <w:szCs w:val="28"/>
          <w:lang w:val="uk-UA"/>
        </w:rPr>
        <w:t>роль за виконанням даного рішення</w:t>
      </w:r>
      <w:r w:rsidRPr="00432F2F">
        <w:rPr>
          <w:sz w:val="28"/>
          <w:szCs w:val="28"/>
          <w:lang w:val="uk-UA"/>
        </w:rPr>
        <w:t xml:space="preserve"> покласти на заступника селищного голови з питань діяльності виконавчих органів селищної ради Захарченка В.В.</w:t>
      </w:r>
    </w:p>
    <w:p w:rsidR="00007FC1" w:rsidRDefault="00007FC1" w:rsidP="00007FC1">
      <w:pPr>
        <w:tabs>
          <w:tab w:val="left" w:pos="900"/>
          <w:tab w:val="left" w:pos="138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7FC1" w:rsidRDefault="00007FC1" w:rsidP="00007FC1">
      <w:pPr>
        <w:tabs>
          <w:tab w:val="left" w:pos="900"/>
          <w:tab w:val="left" w:pos="138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7FC1" w:rsidRPr="00702AB8" w:rsidRDefault="00007FC1" w:rsidP="00007FC1">
      <w:pPr>
        <w:tabs>
          <w:tab w:val="left" w:pos="900"/>
          <w:tab w:val="left" w:pos="1380"/>
        </w:tabs>
        <w:overflowPunct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07FC1" w:rsidRDefault="00007FC1" w:rsidP="00007FC1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:rsidR="00994F51" w:rsidRPr="00007FC1" w:rsidRDefault="00994F51" w:rsidP="00007FC1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b/>
          <w:sz w:val="28"/>
          <w:szCs w:val="28"/>
          <w:lang w:val="uk-UA"/>
        </w:rPr>
      </w:pPr>
    </w:p>
    <w:p w:rsidR="00994F51" w:rsidRDefault="00994F51" w:rsidP="00994F51">
      <w:pPr>
        <w:jc w:val="center"/>
        <w:rPr>
          <w:b/>
          <w:sz w:val="28"/>
          <w:szCs w:val="28"/>
          <w:lang w:val="uk-UA"/>
        </w:rPr>
      </w:pPr>
    </w:p>
    <w:p w:rsidR="00994F51" w:rsidRDefault="00994F51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994F51" w:rsidRDefault="00994F51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994F51" w:rsidRDefault="00994F51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994F51" w:rsidRDefault="00994F51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FF01B7" w:rsidRDefault="00FF01B7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994F51" w:rsidRDefault="00994F51" w:rsidP="00994F51">
      <w:pPr>
        <w:suppressAutoHyphens/>
        <w:jc w:val="both"/>
        <w:rPr>
          <w:sz w:val="28"/>
          <w:szCs w:val="28"/>
          <w:lang w:val="uk-UA" w:eastAsia="ar-SA"/>
        </w:rPr>
      </w:pPr>
    </w:p>
    <w:p w:rsidR="000B0239" w:rsidRPr="00246934" w:rsidRDefault="000B0239" w:rsidP="000B0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Pr="00246934">
        <w:rPr>
          <w:sz w:val="28"/>
          <w:szCs w:val="28"/>
        </w:rPr>
        <w:t>Д</w:t>
      </w:r>
      <w:proofErr w:type="spellStart"/>
      <w:r>
        <w:rPr>
          <w:sz w:val="28"/>
          <w:szCs w:val="28"/>
          <w:lang w:val="uk-UA"/>
        </w:rPr>
        <w:t>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0B0239" w:rsidRPr="00246934" w:rsidRDefault="000B0239" w:rsidP="000B0239">
      <w:pPr>
        <w:jc w:val="center"/>
        <w:rPr>
          <w:sz w:val="28"/>
          <w:szCs w:val="28"/>
        </w:rPr>
      </w:pPr>
      <w:r w:rsidRPr="00246934">
        <w:rPr>
          <w:sz w:val="28"/>
          <w:szCs w:val="28"/>
        </w:rPr>
        <w:t xml:space="preserve">                                                               </w:t>
      </w:r>
      <w:r w:rsidRPr="00246934">
        <w:rPr>
          <w:sz w:val="28"/>
          <w:szCs w:val="28"/>
          <w:lang w:val="uk-UA"/>
        </w:rPr>
        <w:t xml:space="preserve"> </w:t>
      </w:r>
      <w:r w:rsidRPr="00246934">
        <w:rPr>
          <w:sz w:val="28"/>
          <w:szCs w:val="28"/>
        </w:rPr>
        <w:t xml:space="preserve"> </w:t>
      </w:r>
      <w:r w:rsidRPr="00246934">
        <w:rPr>
          <w:sz w:val="28"/>
          <w:szCs w:val="28"/>
          <w:lang w:val="uk-UA"/>
        </w:rPr>
        <w:t xml:space="preserve">           до </w:t>
      </w:r>
      <w:proofErr w:type="spellStart"/>
      <w:r w:rsidRPr="00246934">
        <w:rPr>
          <w:sz w:val="28"/>
          <w:szCs w:val="28"/>
        </w:rPr>
        <w:t>рішення</w:t>
      </w:r>
      <w:proofErr w:type="spellEnd"/>
      <w:r w:rsidRPr="00246934">
        <w:rPr>
          <w:sz w:val="28"/>
          <w:szCs w:val="28"/>
        </w:rPr>
        <w:t xml:space="preserve"> </w:t>
      </w:r>
      <w:proofErr w:type="spellStart"/>
      <w:r w:rsidRPr="00246934">
        <w:rPr>
          <w:sz w:val="28"/>
          <w:szCs w:val="28"/>
        </w:rPr>
        <w:t>виконкому</w:t>
      </w:r>
      <w:proofErr w:type="spellEnd"/>
    </w:p>
    <w:p w:rsidR="000B0239" w:rsidRDefault="000B0239" w:rsidP="000B0239">
      <w:pPr>
        <w:jc w:val="center"/>
        <w:rPr>
          <w:sz w:val="28"/>
          <w:szCs w:val="28"/>
        </w:rPr>
      </w:pPr>
      <w:r w:rsidRPr="00246934">
        <w:rPr>
          <w:sz w:val="28"/>
          <w:szCs w:val="28"/>
        </w:rPr>
        <w:t xml:space="preserve">                                                                               </w:t>
      </w:r>
      <w:r w:rsidRPr="00246934">
        <w:rPr>
          <w:sz w:val="28"/>
          <w:szCs w:val="28"/>
          <w:lang w:val="uk-UA"/>
        </w:rPr>
        <w:t xml:space="preserve">        </w:t>
      </w:r>
      <w:proofErr w:type="spellStart"/>
      <w:r w:rsidRPr="00246934">
        <w:rPr>
          <w:sz w:val="28"/>
          <w:szCs w:val="28"/>
        </w:rPr>
        <w:t>Брусилівської</w:t>
      </w:r>
      <w:proofErr w:type="spellEnd"/>
      <w:r w:rsidRPr="00246934">
        <w:rPr>
          <w:sz w:val="28"/>
          <w:szCs w:val="28"/>
        </w:rPr>
        <w:t xml:space="preserve"> </w:t>
      </w:r>
      <w:proofErr w:type="spellStart"/>
      <w:r w:rsidRPr="00246934">
        <w:rPr>
          <w:sz w:val="28"/>
          <w:szCs w:val="28"/>
        </w:rPr>
        <w:t>селищної</w:t>
      </w:r>
      <w:proofErr w:type="spellEnd"/>
      <w:r w:rsidRPr="00246934">
        <w:rPr>
          <w:sz w:val="28"/>
          <w:szCs w:val="28"/>
        </w:rPr>
        <w:t xml:space="preserve"> ради </w:t>
      </w:r>
    </w:p>
    <w:p w:rsidR="000B0239" w:rsidRDefault="000B0239" w:rsidP="000B0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440B6D">
        <w:rPr>
          <w:sz w:val="28"/>
          <w:szCs w:val="28"/>
          <w:lang w:val="uk-UA"/>
        </w:rPr>
        <w:t xml:space="preserve">                                 17.03</w:t>
      </w:r>
      <w:r>
        <w:rPr>
          <w:sz w:val="28"/>
          <w:szCs w:val="28"/>
          <w:lang w:val="uk-UA"/>
        </w:rPr>
        <w:t>.2021 №</w:t>
      </w:r>
      <w:r w:rsidR="00440B6D">
        <w:rPr>
          <w:sz w:val="28"/>
          <w:szCs w:val="28"/>
          <w:lang w:val="uk-UA"/>
        </w:rPr>
        <w:t xml:space="preserve"> 192</w:t>
      </w:r>
    </w:p>
    <w:p w:rsidR="000B0239" w:rsidRPr="00253336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Pr="000B0239" w:rsidRDefault="000B0239" w:rsidP="000B023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B0239">
        <w:rPr>
          <w:b/>
          <w:sz w:val="28"/>
          <w:szCs w:val="28"/>
          <w:lang w:val="uk-UA" w:eastAsia="ar-SA"/>
        </w:rPr>
        <w:t>ІНФОРМАЦІЯ</w:t>
      </w:r>
    </w:p>
    <w:p w:rsidR="000B0239" w:rsidRPr="000B0239" w:rsidRDefault="000B0239" w:rsidP="000B0239">
      <w:pPr>
        <w:suppressAutoHyphens/>
        <w:jc w:val="center"/>
        <w:rPr>
          <w:b/>
          <w:sz w:val="28"/>
          <w:szCs w:val="28"/>
          <w:lang w:val="uk-UA"/>
        </w:rPr>
      </w:pPr>
      <w:r w:rsidRPr="000B0239">
        <w:rPr>
          <w:b/>
          <w:sz w:val="28"/>
          <w:szCs w:val="28"/>
          <w:lang w:val="uk-UA"/>
        </w:rPr>
        <w:t xml:space="preserve">начальника  відділу комунальної  власності  селищної ради </w:t>
      </w:r>
      <w:proofErr w:type="spellStart"/>
      <w:r w:rsidRPr="000B0239">
        <w:rPr>
          <w:b/>
          <w:sz w:val="28"/>
          <w:szCs w:val="28"/>
          <w:lang w:val="uk-UA"/>
        </w:rPr>
        <w:t>Бортнічук</w:t>
      </w:r>
      <w:proofErr w:type="spellEnd"/>
      <w:r w:rsidRPr="000B0239">
        <w:rPr>
          <w:b/>
          <w:sz w:val="28"/>
          <w:szCs w:val="28"/>
          <w:lang w:val="uk-UA"/>
        </w:rPr>
        <w:t xml:space="preserve"> Т.Й. про результати проведеного моніторингу вартості ритуальних послуг на одне поховання станом на 01.01.2021 року на території </w:t>
      </w:r>
      <w:proofErr w:type="spellStart"/>
      <w:r w:rsidRPr="000B0239">
        <w:rPr>
          <w:b/>
          <w:sz w:val="28"/>
          <w:szCs w:val="28"/>
          <w:lang w:val="uk-UA"/>
        </w:rPr>
        <w:t>Брусилівської</w:t>
      </w:r>
      <w:proofErr w:type="spellEnd"/>
      <w:r w:rsidRPr="000B0239">
        <w:rPr>
          <w:b/>
          <w:sz w:val="28"/>
          <w:szCs w:val="28"/>
          <w:lang w:val="uk-UA"/>
        </w:rPr>
        <w:t xml:space="preserve"> селищної територіальної громади</w:t>
      </w:r>
    </w:p>
    <w:p w:rsidR="000B0239" w:rsidRDefault="000B0239" w:rsidP="000B0239">
      <w:pPr>
        <w:suppressAutoHyphens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ind w:firstLine="72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Розглянувши </w:t>
      </w:r>
      <w:r w:rsidRPr="001749BD">
        <w:rPr>
          <w:sz w:val="28"/>
          <w:szCs w:val="28"/>
          <w:lang w:val="uk-UA" w:eastAsia="ar-SA"/>
        </w:rPr>
        <w:t>лист</w:t>
      </w:r>
      <w:r>
        <w:rPr>
          <w:sz w:val="28"/>
          <w:szCs w:val="28"/>
          <w:lang w:val="uk-UA" w:eastAsia="ar-SA"/>
        </w:rPr>
        <w:t xml:space="preserve"> Управління</w:t>
      </w:r>
      <w:r w:rsidRPr="001749BD">
        <w:rPr>
          <w:sz w:val="28"/>
          <w:szCs w:val="28"/>
          <w:lang w:val="uk-UA" w:eastAsia="ar-SA"/>
        </w:rPr>
        <w:t xml:space="preserve"> праці</w:t>
      </w:r>
      <w:r>
        <w:rPr>
          <w:sz w:val="28"/>
          <w:szCs w:val="28"/>
          <w:lang w:val="uk-UA" w:eastAsia="ar-SA"/>
        </w:rPr>
        <w:t xml:space="preserve"> та </w:t>
      </w:r>
      <w:r w:rsidRPr="001749BD">
        <w:rPr>
          <w:sz w:val="28"/>
          <w:szCs w:val="28"/>
          <w:lang w:val="uk-UA" w:eastAsia="ar-SA"/>
        </w:rPr>
        <w:t>соціально</w:t>
      </w:r>
      <w:r>
        <w:rPr>
          <w:sz w:val="28"/>
          <w:szCs w:val="28"/>
          <w:lang w:val="uk-UA" w:eastAsia="ar-SA"/>
        </w:rPr>
        <w:t xml:space="preserve">го захисту населення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районної державної адміністрації</w:t>
      </w:r>
      <w:r w:rsidRPr="001749BD">
        <w:rPr>
          <w:sz w:val="28"/>
          <w:szCs w:val="28"/>
          <w:lang w:val="uk-UA" w:eastAsia="ar-SA"/>
        </w:rPr>
        <w:t xml:space="preserve"> від </w:t>
      </w:r>
      <w:r>
        <w:rPr>
          <w:sz w:val="28"/>
          <w:szCs w:val="28"/>
          <w:lang w:val="uk-UA" w:eastAsia="ar-SA"/>
        </w:rPr>
        <w:t>23</w:t>
      </w:r>
      <w:r w:rsidRPr="001749BD">
        <w:rPr>
          <w:sz w:val="28"/>
          <w:szCs w:val="28"/>
          <w:lang w:val="uk-UA" w:eastAsia="ar-SA"/>
        </w:rPr>
        <w:t>.0</w:t>
      </w:r>
      <w:r>
        <w:rPr>
          <w:sz w:val="28"/>
          <w:szCs w:val="28"/>
          <w:lang w:val="uk-UA" w:eastAsia="ar-SA"/>
        </w:rPr>
        <w:t>2</w:t>
      </w:r>
      <w:r w:rsidRPr="001749BD">
        <w:rPr>
          <w:sz w:val="28"/>
          <w:szCs w:val="28"/>
          <w:lang w:val="uk-UA" w:eastAsia="ar-SA"/>
        </w:rPr>
        <w:t>.202</w:t>
      </w:r>
      <w:r>
        <w:rPr>
          <w:sz w:val="28"/>
          <w:szCs w:val="28"/>
          <w:lang w:val="uk-UA" w:eastAsia="ar-SA"/>
        </w:rPr>
        <w:t>1 №146</w:t>
      </w:r>
      <w:r w:rsidRPr="001749BD">
        <w:rPr>
          <w:sz w:val="28"/>
          <w:szCs w:val="28"/>
          <w:lang w:val="uk-UA" w:eastAsia="ar-SA"/>
        </w:rPr>
        <w:t>/</w:t>
      </w:r>
      <w:r>
        <w:rPr>
          <w:sz w:val="28"/>
          <w:szCs w:val="28"/>
          <w:lang w:val="uk-UA" w:eastAsia="ar-SA"/>
        </w:rPr>
        <w:t xml:space="preserve">01 «Про відшкодування витрат на поховання учасників бойових дій, постраждалих учасників Революції Гідності та осіб з інвалідністю внаслідок війни», з метою підготовки довідки про  середню вартість ритуальних послуг, що склалася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 w:eastAsia="ar-SA"/>
        </w:rPr>
        <w:t>за станом на 01.01.2021 року, відділом комунальної власності селищної ради проведено моніторинг</w:t>
      </w:r>
      <w:r w:rsidRPr="00B8365C">
        <w:rPr>
          <w:sz w:val="28"/>
          <w:szCs w:val="28"/>
          <w:lang w:val="uk-UA" w:eastAsia="ar-SA"/>
        </w:rPr>
        <w:t xml:space="preserve"> </w:t>
      </w:r>
      <w:r w:rsidRPr="001749BD">
        <w:rPr>
          <w:sz w:val="28"/>
          <w:szCs w:val="28"/>
          <w:lang w:val="uk-UA" w:eastAsia="ar-SA"/>
        </w:rPr>
        <w:t>середн</w:t>
      </w:r>
      <w:r>
        <w:rPr>
          <w:sz w:val="28"/>
          <w:szCs w:val="28"/>
          <w:lang w:val="uk-UA" w:eastAsia="ar-SA"/>
        </w:rPr>
        <w:t>ьої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ості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станом на 01.01.2021 в суб’єктів підприємницької діяльності, що надають вищезазначені послуги та здійснюють реалізацію ритуальних товарів. </w:t>
      </w:r>
    </w:p>
    <w:p w:rsidR="000B0239" w:rsidRDefault="000B0239" w:rsidP="000B0239">
      <w:pPr>
        <w:ind w:firstLine="720"/>
        <w:jc w:val="both"/>
        <w:rPr>
          <w:sz w:val="28"/>
          <w:szCs w:val="28"/>
          <w:lang w:val="uk-UA" w:eastAsia="ar-SA"/>
        </w:rPr>
      </w:pPr>
    </w:p>
    <w:p w:rsidR="000B0239" w:rsidRDefault="000B0239" w:rsidP="000B0239">
      <w:pPr>
        <w:ind w:firstLine="72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У результаті проведеного моніторингу виявлено, що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три суб’єкти підприємницької діяльності: фізична особа підприємець (далі ФОП) </w:t>
      </w:r>
      <w:proofErr w:type="spellStart"/>
      <w:r>
        <w:rPr>
          <w:sz w:val="28"/>
          <w:szCs w:val="28"/>
          <w:lang w:val="uk-UA" w:eastAsia="ar-SA"/>
        </w:rPr>
        <w:t>Романина</w:t>
      </w:r>
      <w:proofErr w:type="spellEnd"/>
      <w:r>
        <w:rPr>
          <w:sz w:val="28"/>
          <w:szCs w:val="28"/>
          <w:lang w:val="uk-UA" w:eastAsia="ar-SA"/>
        </w:rPr>
        <w:t xml:space="preserve"> О.П., ФОП </w:t>
      </w:r>
      <w:proofErr w:type="spellStart"/>
      <w:r>
        <w:rPr>
          <w:sz w:val="28"/>
          <w:szCs w:val="28"/>
          <w:lang w:val="uk-UA" w:eastAsia="ar-SA"/>
        </w:rPr>
        <w:t>Горбановська</w:t>
      </w:r>
      <w:proofErr w:type="spellEnd"/>
      <w:r>
        <w:rPr>
          <w:sz w:val="28"/>
          <w:szCs w:val="28"/>
          <w:lang w:val="uk-UA" w:eastAsia="ar-SA"/>
        </w:rPr>
        <w:t xml:space="preserve"> Л.О., ФОП  Юрченко В.В. займаються реалізацією товарів ритуальної належності та надають ритуальні послуги. С</w:t>
      </w:r>
      <w:r w:rsidRPr="001749BD">
        <w:rPr>
          <w:sz w:val="28"/>
          <w:szCs w:val="28"/>
          <w:lang w:val="uk-UA" w:eastAsia="ar-SA"/>
        </w:rPr>
        <w:t>ередн</w:t>
      </w:r>
      <w:r>
        <w:rPr>
          <w:sz w:val="28"/>
          <w:szCs w:val="28"/>
          <w:lang w:val="uk-UA" w:eastAsia="ar-SA"/>
        </w:rPr>
        <w:t>я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ість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станом на 01.01.2021 року в розрізі суб’єктів підприємницької діяльності:</w:t>
      </w:r>
    </w:p>
    <w:p w:rsidR="000B0239" w:rsidRDefault="000B0239" w:rsidP="000B0239">
      <w:pPr>
        <w:ind w:firstLine="720"/>
        <w:jc w:val="both"/>
        <w:rPr>
          <w:sz w:val="28"/>
          <w:szCs w:val="28"/>
          <w:lang w:val="uk-UA" w:eastAsia="ar-SA"/>
        </w:rPr>
      </w:pPr>
    </w:p>
    <w:p w:rsidR="000B0239" w:rsidRPr="00246934" w:rsidRDefault="000B0239" w:rsidP="000B02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 w:eastAsia="ar-SA"/>
        </w:rPr>
        <w:t xml:space="preserve">1. ФОП </w:t>
      </w:r>
      <w:proofErr w:type="spellStart"/>
      <w:r>
        <w:rPr>
          <w:sz w:val="28"/>
          <w:szCs w:val="28"/>
          <w:lang w:val="uk-UA" w:eastAsia="ar-SA"/>
        </w:rPr>
        <w:t>Романина</w:t>
      </w:r>
      <w:proofErr w:type="spellEnd"/>
      <w:r>
        <w:rPr>
          <w:sz w:val="28"/>
          <w:szCs w:val="28"/>
          <w:lang w:val="uk-UA" w:eastAsia="ar-SA"/>
        </w:rPr>
        <w:t xml:space="preserve"> О.П.:</w:t>
      </w:r>
    </w:p>
    <w:p w:rsidR="000B0239" w:rsidRPr="000E2F6B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0E2F6B">
        <w:rPr>
          <w:sz w:val="28"/>
          <w:szCs w:val="28"/>
          <w:lang w:val="uk-UA" w:eastAsia="ar-SA"/>
        </w:rPr>
        <w:t xml:space="preserve"> </w:t>
      </w:r>
      <w:r w:rsidRPr="000E2F6B">
        <w:rPr>
          <w:sz w:val="28"/>
          <w:szCs w:val="28"/>
          <w:lang w:val="uk-UA"/>
        </w:rPr>
        <w:t>д</w:t>
      </w:r>
      <w:proofErr w:type="spellStart"/>
      <w:r w:rsidRPr="000E2F6B">
        <w:rPr>
          <w:sz w:val="28"/>
          <w:szCs w:val="28"/>
        </w:rPr>
        <w:t>оставка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предметів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похоронної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належності</w:t>
      </w:r>
      <w:proofErr w:type="spellEnd"/>
      <w:r w:rsidRPr="000E2F6B">
        <w:rPr>
          <w:sz w:val="28"/>
          <w:szCs w:val="28"/>
          <w:lang w:val="uk-UA"/>
        </w:rPr>
        <w:t xml:space="preserve"> </w:t>
      </w:r>
      <w:r w:rsidRPr="000E2F6B">
        <w:rPr>
          <w:sz w:val="28"/>
          <w:szCs w:val="28"/>
        </w:rPr>
        <w:t>(</w:t>
      </w:r>
      <w:proofErr w:type="spellStart"/>
      <w:r w:rsidRPr="000E2F6B">
        <w:rPr>
          <w:sz w:val="28"/>
          <w:szCs w:val="28"/>
        </w:rPr>
        <w:t>завантаження</w:t>
      </w:r>
      <w:proofErr w:type="spellEnd"/>
      <w:r w:rsidRPr="000E2F6B">
        <w:rPr>
          <w:sz w:val="28"/>
          <w:szCs w:val="28"/>
        </w:rPr>
        <w:t xml:space="preserve"> на </w:t>
      </w:r>
      <w:proofErr w:type="spellStart"/>
      <w:r w:rsidRPr="000E2F6B">
        <w:rPr>
          <w:sz w:val="28"/>
          <w:szCs w:val="28"/>
        </w:rPr>
        <w:t>складі</w:t>
      </w:r>
      <w:proofErr w:type="spellEnd"/>
      <w:r w:rsidRPr="000E2F6B">
        <w:rPr>
          <w:sz w:val="28"/>
          <w:szCs w:val="28"/>
        </w:rPr>
        <w:t xml:space="preserve">, </w:t>
      </w:r>
      <w:proofErr w:type="spellStart"/>
      <w:r w:rsidRPr="000E2F6B">
        <w:rPr>
          <w:sz w:val="28"/>
          <w:szCs w:val="28"/>
        </w:rPr>
        <w:t>перевезення</w:t>
      </w:r>
      <w:proofErr w:type="spellEnd"/>
      <w:r w:rsidRPr="000E2F6B">
        <w:rPr>
          <w:sz w:val="28"/>
          <w:szCs w:val="28"/>
        </w:rPr>
        <w:t xml:space="preserve">, </w:t>
      </w:r>
      <w:proofErr w:type="spellStart"/>
      <w:r w:rsidRPr="000E2F6B">
        <w:rPr>
          <w:sz w:val="28"/>
          <w:szCs w:val="28"/>
        </w:rPr>
        <w:t>вивантаження</w:t>
      </w:r>
      <w:proofErr w:type="spellEnd"/>
      <w:r w:rsidRPr="000E2F6B">
        <w:rPr>
          <w:sz w:val="28"/>
          <w:szCs w:val="28"/>
        </w:rPr>
        <w:t xml:space="preserve"> на</w:t>
      </w:r>
      <w:r w:rsidRPr="000E2F6B">
        <w:rPr>
          <w:sz w:val="28"/>
          <w:szCs w:val="28"/>
          <w:lang w:val="uk-UA"/>
        </w:rPr>
        <w:t xml:space="preserve"> </w:t>
      </w:r>
      <w:proofErr w:type="spellStart"/>
      <w:r w:rsidRPr="000E2F6B">
        <w:rPr>
          <w:sz w:val="28"/>
          <w:szCs w:val="28"/>
        </w:rPr>
        <w:t>місці</w:t>
      </w:r>
      <w:proofErr w:type="spellEnd"/>
      <w:r w:rsidRPr="000E2F6B">
        <w:rPr>
          <w:sz w:val="28"/>
          <w:szCs w:val="28"/>
          <w:lang w:val="uk-UA"/>
        </w:rPr>
        <w:t xml:space="preserve"> </w:t>
      </w:r>
      <w:proofErr w:type="spellStart"/>
      <w:r w:rsidRPr="000E2F6B">
        <w:rPr>
          <w:sz w:val="28"/>
          <w:szCs w:val="28"/>
        </w:rPr>
        <w:t>призначення</w:t>
      </w:r>
      <w:proofErr w:type="spellEnd"/>
      <w:r w:rsidRPr="000E2F6B">
        <w:rPr>
          <w:sz w:val="28"/>
          <w:szCs w:val="28"/>
          <w:lang w:val="uk-UA"/>
        </w:rPr>
        <w:t xml:space="preserve"> </w:t>
      </w:r>
      <w:r w:rsidRPr="000E2F6B">
        <w:rPr>
          <w:sz w:val="28"/>
          <w:szCs w:val="28"/>
        </w:rPr>
        <w:t xml:space="preserve">та </w:t>
      </w:r>
      <w:proofErr w:type="spellStart"/>
      <w:r w:rsidRPr="000E2F6B">
        <w:rPr>
          <w:sz w:val="28"/>
          <w:szCs w:val="28"/>
        </w:rPr>
        <w:t>перенесення</w:t>
      </w:r>
      <w:proofErr w:type="spellEnd"/>
      <w:r w:rsidRPr="000E2F6B">
        <w:rPr>
          <w:sz w:val="28"/>
          <w:szCs w:val="28"/>
        </w:rPr>
        <w:t xml:space="preserve"> до </w:t>
      </w:r>
      <w:proofErr w:type="spellStart"/>
      <w:r w:rsidRPr="000E2F6B">
        <w:rPr>
          <w:sz w:val="28"/>
          <w:szCs w:val="28"/>
        </w:rPr>
        <w:t>місця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знаходження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тіла</w:t>
      </w:r>
      <w:proofErr w:type="spellEnd"/>
      <w:r w:rsidRPr="000E2F6B">
        <w:rPr>
          <w:sz w:val="28"/>
          <w:szCs w:val="28"/>
        </w:rPr>
        <w:t xml:space="preserve"> </w:t>
      </w:r>
      <w:proofErr w:type="spellStart"/>
      <w:r w:rsidRPr="000E2F6B">
        <w:rPr>
          <w:sz w:val="28"/>
          <w:szCs w:val="28"/>
        </w:rPr>
        <w:t>померлого</w:t>
      </w:r>
      <w:proofErr w:type="spellEnd"/>
      <w:r w:rsidRPr="000E2F6B">
        <w:rPr>
          <w:sz w:val="28"/>
          <w:szCs w:val="28"/>
        </w:rPr>
        <w:t>)</w:t>
      </w:r>
      <w:r w:rsidRPr="000E2F6B">
        <w:rPr>
          <w:sz w:val="28"/>
          <w:szCs w:val="28"/>
          <w:lang w:val="uk-UA"/>
        </w:rPr>
        <w:t xml:space="preserve"> – 350,00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EE369A">
        <w:rPr>
          <w:sz w:val="28"/>
          <w:szCs w:val="28"/>
        </w:rPr>
        <w:t>адання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автокатафалк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автобус супроводження</w:t>
      </w:r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800,00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т</w:t>
      </w:r>
      <w:r w:rsidRPr="00EE369A">
        <w:rPr>
          <w:sz w:val="28"/>
          <w:szCs w:val="28"/>
        </w:rPr>
        <w:t>рун</w:t>
      </w:r>
      <w:r w:rsidRPr="00EE369A">
        <w:rPr>
          <w:sz w:val="28"/>
          <w:szCs w:val="28"/>
          <w:lang w:val="uk-UA"/>
        </w:rPr>
        <w:t>и –</w:t>
      </w:r>
      <w:r>
        <w:rPr>
          <w:sz w:val="28"/>
          <w:szCs w:val="28"/>
          <w:lang w:val="uk-UA"/>
        </w:rPr>
        <w:t xml:space="preserve"> 12</w:t>
      </w:r>
      <w:r w:rsidRPr="00EE369A">
        <w:rPr>
          <w:sz w:val="28"/>
          <w:szCs w:val="28"/>
          <w:lang w:val="uk-UA"/>
        </w:rPr>
        <w:t>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EE369A">
        <w:rPr>
          <w:sz w:val="28"/>
          <w:szCs w:val="28"/>
          <w:lang w:val="uk-UA"/>
        </w:rPr>
        <w:t>рганізація поховання і проведення ритуалу – 1500,00 грн.;</w:t>
      </w:r>
    </w:p>
    <w:p w:rsidR="000B0239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вінка похоронного з траурною стрічкою (з написом чи без нього) – 400,00 грн.</w:t>
      </w:r>
      <w:r>
        <w:rPr>
          <w:sz w:val="28"/>
          <w:szCs w:val="28"/>
          <w:lang w:val="uk-UA"/>
        </w:rPr>
        <w:t xml:space="preserve"> (Інформація про середньо-визначену вартість ритуальних послуг та товарів на 1 поховання станом на 01.01.2021 року завірена  ФОП </w:t>
      </w:r>
      <w:proofErr w:type="spellStart"/>
      <w:r>
        <w:rPr>
          <w:sz w:val="28"/>
          <w:szCs w:val="28"/>
          <w:lang w:val="uk-UA"/>
        </w:rPr>
        <w:t>Романина</w:t>
      </w:r>
      <w:proofErr w:type="spellEnd"/>
      <w:r>
        <w:rPr>
          <w:sz w:val="28"/>
          <w:szCs w:val="28"/>
          <w:lang w:val="uk-UA"/>
        </w:rPr>
        <w:t xml:space="preserve"> О.П. додається).</w:t>
      </w: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2.ФОП </w:t>
      </w:r>
      <w:proofErr w:type="spellStart"/>
      <w:r>
        <w:rPr>
          <w:sz w:val="28"/>
          <w:szCs w:val="28"/>
          <w:lang w:val="uk-UA"/>
        </w:rPr>
        <w:t>Горбановська</w:t>
      </w:r>
      <w:proofErr w:type="spellEnd"/>
      <w:r>
        <w:rPr>
          <w:sz w:val="28"/>
          <w:szCs w:val="28"/>
          <w:lang w:val="uk-UA"/>
        </w:rPr>
        <w:t xml:space="preserve"> Л.О.: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EE369A">
        <w:rPr>
          <w:sz w:val="28"/>
          <w:szCs w:val="28"/>
          <w:lang w:val="uk-UA"/>
        </w:rPr>
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 – 2000,00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proofErr w:type="spellStart"/>
      <w:r w:rsidRPr="00EE369A">
        <w:rPr>
          <w:sz w:val="28"/>
          <w:szCs w:val="28"/>
        </w:rPr>
        <w:t>оставка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предметів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похоронної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належності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</w:t>
      </w:r>
      <w:proofErr w:type="spellStart"/>
      <w:r w:rsidRPr="00EE369A">
        <w:rPr>
          <w:sz w:val="28"/>
          <w:szCs w:val="28"/>
        </w:rPr>
        <w:t>завантаження</w:t>
      </w:r>
      <w:proofErr w:type="spellEnd"/>
      <w:r w:rsidRPr="00EE369A">
        <w:rPr>
          <w:sz w:val="28"/>
          <w:szCs w:val="28"/>
        </w:rPr>
        <w:t xml:space="preserve"> на </w:t>
      </w:r>
      <w:proofErr w:type="spellStart"/>
      <w:r w:rsidRPr="00EE369A">
        <w:rPr>
          <w:sz w:val="28"/>
          <w:szCs w:val="28"/>
        </w:rPr>
        <w:t>складі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перевезення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вивантаження</w:t>
      </w:r>
      <w:proofErr w:type="spellEnd"/>
      <w:r w:rsidRPr="00EE369A">
        <w:rPr>
          <w:sz w:val="28"/>
          <w:szCs w:val="28"/>
        </w:rPr>
        <w:t xml:space="preserve"> на</w:t>
      </w:r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місці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призначення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 xml:space="preserve">та </w:t>
      </w:r>
      <w:proofErr w:type="spellStart"/>
      <w:r w:rsidRPr="00EE369A">
        <w:rPr>
          <w:sz w:val="28"/>
          <w:szCs w:val="28"/>
        </w:rPr>
        <w:t>перенесення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знаходження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тіла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350,00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EE369A">
        <w:rPr>
          <w:sz w:val="28"/>
          <w:szCs w:val="28"/>
        </w:rPr>
        <w:t>адання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автокатафалк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автобус супроводження</w:t>
      </w:r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150</w:t>
      </w:r>
      <w:r w:rsidRPr="00EE369A">
        <w:rPr>
          <w:sz w:val="28"/>
          <w:szCs w:val="28"/>
          <w:lang w:val="uk-UA"/>
        </w:rPr>
        <w:t>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Pr="00EE369A">
        <w:rPr>
          <w:sz w:val="28"/>
          <w:szCs w:val="28"/>
        </w:rPr>
        <w:t>еренесення</w:t>
      </w:r>
      <w:proofErr w:type="spellEnd"/>
      <w:r w:rsidRPr="00EE369A">
        <w:rPr>
          <w:sz w:val="28"/>
          <w:szCs w:val="28"/>
        </w:rPr>
        <w:t xml:space="preserve"> труни з </w:t>
      </w:r>
      <w:proofErr w:type="spellStart"/>
      <w:r w:rsidRPr="00EE369A">
        <w:rPr>
          <w:sz w:val="28"/>
          <w:szCs w:val="28"/>
        </w:rPr>
        <w:t>тілом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 xml:space="preserve">), до моргу, з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>), моргу</w:t>
      </w:r>
      <w:r w:rsidRPr="00EE369A">
        <w:rPr>
          <w:sz w:val="28"/>
          <w:szCs w:val="28"/>
          <w:lang w:val="uk-UA"/>
        </w:rPr>
        <w:t>,</w:t>
      </w:r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поховання</w:t>
      </w:r>
      <w:proofErr w:type="spellEnd"/>
      <w:r w:rsidRPr="00EE369A">
        <w:rPr>
          <w:sz w:val="28"/>
          <w:szCs w:val="28"/>
        </w:rPr>
        <w:t xml:space="preserve">  </w:t>
      </w:r>
      <w:r w:rsidRPr="00EE369A">
        <w:rPr>
          <w:sz w:val="28"/>
          <w:szCs w:val="28"/>
          <w:lang w:val="uk-UA"/>
        </w:rPr>
        <w:t>- 400,00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т</w:t>
      </w:r>
      <w:r w:rsidRPr="00EE369A">
        <w:rPr>
          <w:sz w:val="28"/>
          <w:szCs w:val="28"/>
        </w:rPr>
        <w:t>рун</w:t>
      </w:r>
      <w:r w:rsidRPr="00EE369A">
        <w:rPr>
          <w:sz w:val="28"/>
          <w:szCs w:val="28"/>
          <w:lang w:val="uk-UA"/>
        </w:rPr>
        <w:t>и – 1</w:t>
      </w:r>
      <w:r>
        <w:rPr>
          <w:sz w:val="28"/>
          <w:szCs w:val="28"/>
          <w:lang w:val="uk-UA"/>
        </w:rPr>
        <w:t>8</w:t>
      </w:r>
      <w:r w:rsidRPr="00EE369A">
        <w:rPr>
          <w:sz w:val="28"/>
          <w:szCs w:val="28"/>
          <w:lang w:val="uk-UA"/>
        </w:rPr>
        <w:t>00,00 грн.;</w:t>
      </w:r>
    </w:p>
    <w:p w:rsidR="000B0239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вінка похоронного з траурною стрічкою (з написом чи без нього) –</w:t>
      </w:r>
      <w:r>
        <w:rPr>
          <w:sz w:val="28"/>
          <w:szCs w:val="28"/>
          <w:lang w:val="uk-UA"/>
        </w:rPr>
        <w:t xml:space="preserve"> 45</w:t>
      </w:r>
      <w:r w:rsidRPr="00EE369A">
        <w:rPr>
          <w:sz w:val="28"/>
          <w:szCs w:val="28"/>
          <w:lang w:val="uk-UA"/>
        </w:rPr>
        <w:t>0,00 грн.</w:t>
      </w:r>
      <w:r w:rsidRPr="002A3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Інформація про середньо-визначену вартість ритуальних послуг та товарів на 1 поховання станом на 01.01.2021 року завірена  ФОП </w:t>
      </w:r>
      <w:proofErr w:type="spellStart"/>
      <w:r>
        <w:rPr>
          <w:sz w:val="28"/>
          <w:szCs w:val="28"/>
          <w:lang w:val="uk-UA"/>
        </w:rPr>
        <w:t>Горбановська</w:t>
      </w:r>
      <w:proofErr w:type="spellEnd"/>
      <w:r>
        <w:rPr>
          <w:sz w:val="28"/>
          <w:szCs w:val="28"/>
          <w:lang w:val="uk-UA"/>
        </w:rPr>
        <w:t xml:space="preserve"> Л.О. додається).</w:t>
      </w: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3.ФОП Юрченко В.В.: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EE369A">
        <w:rPr>
          <w:sz w:val="28"/>
          <w:szCs w:val="28"/>
          <w:lang w:val="uk-UA"/>
        </w:rPr>
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 – 2000,00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proofErr w:type="spellStart"/>
      <w:r w:rsidRPr="00EE369A">
        <w:rPr>
          <w:sz w:val="28"/>
          <w:szCs w:val="28"/>
        </w:rPr>
        <w:t>оставка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предметів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похоронної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належності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</w:t>
      </w:r>
      <w:proofErr w:type="spellStart"/>
      <w:r w:rsidRPr="00EE369A">
        <w:rPr>
          <w:sz w:val="28"/>
          <w:szCs w:val="28"/>
        </w:rPr>
        <w:t>завантаження</w:t>
      </w:r>
      <w:proofErr w:type="spellEnd"/>
      <w:r w:rsidRPr="00EE369A">
        <w:rPr>
          <w:sz w:val="28"/>
          <w:szCs w:val="28"/>
        </w:rPr>
        <w:t xml:space="preserve"> на </w:t>
      </w:r>
      <w:proofErr w:type="spellStart"/>
      <w:r w:rsidRPr="00EE369A">
        <w:rPr>
          <w:sz w:val="28"/>
          <w:szCs w:val="28"/>
        </w:rPr>
        <w:t>складі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перевезення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вивантаження</w:t>
      </w:r>
      <w:proofErr w:type="spellEnd"/>
      <w:r w:rsidRPr="00EE369A">
        <w:rPr>
          <w:sz w:val="28"/>
          <w:szCs w:val="28"/>
        </w:rPr>
        <w:t xml:space="preserve"> на</w:t>
      </w:r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місці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призначення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 xml:space="preserve">та </w:t>
      </w:r>
      <w:proofErr w:type="spellStart"/>
      <w:r w:rsidRPr="00EE369A">
        <w:rPr>
          <w:sz w:val="28"/>
          <w:szCs w:val="28"/>
        </w:rPr>
        <w:t>перенесення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знаходження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тіла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</w:t>
      </w:r>
      <w:r w:rsidRPr="00EE369A">
        <w:rPr>
          <w:sz w:val="28"/>
          <w:szCs w:val="28"/>
          <w:lang w:val="uk-UA"/>
        </w:rPr>
        <w:t>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EE369A">
        <w:rPr>
          <w:sz w:val="28"/>
          <w:szCs w:val="28"/>
        </w:rPr>
        <w:t>адання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автокатафалк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автобус супроводження</w:t>
      </w:r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>15</w:t>
      </w:r>
      <w:r w:rsidRPr="00EE369A">
        <w:rPr>
          <w:sz w:val="28"/>
          <w:szCs w:val="28"/>
          <w:lang w:val="uk-UA"/>
        </w:rPr>
        <w:t>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Pr="00EE369A">
        <w:rPr>
          <w:sz w:val="28"/>
          <w:szCs w:val="28"/>
        </w:rPr>
        <w:t>еренесення</w:t>
      </w:r>
      <w:proofErr w:type="spellEnd"/>
      <w:r w:rsidRPr="00EE369A">
        <w:rPr>
          <w:sz w:val="28"/>
          <w:szCs w:val="28"/>
        </w:rPr>
        <w:t xml:space="preserve"> труни з </w:t>
      </w:r>
      <w:proofErr w:type="spellStart"/>
      <w:r w:rsidRPr="00EE369A">
        <w:rPr>
          <w:sz w:val="28"/>
          <w:szCs w:val="28"/>
        </w:rPr>
        <w:t>тілом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 xml:space="preserve">), до моргу, з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>), моргу</w:t>
      </w:r>
      <w:r w:rsidRPr="00EE369A">
        <w:rPr>
          <w:sz w:val="28"/>
          <w:szCs w:val="28"/>
          <w:lang w:val="uk-UA"/>
        </w:rPr>
        <w:t>,</w:t>
      </w:r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поховання</w:t>
      </w:r>
      <w:proofErr w:type="spellEnd"/>
      <w:r w:rsidRPr="00EE369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- 5</w:t>
      </w:r>
      <w:r w:rsidRPr="00EE369A">
        <w:rPr>
          <w:sz w:val="28"/>
          <w:szCs w:val="28"/>
          <w:lang w:val="uk-UA"/>
        </w:rPr>
        <w:t>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т</w:t>
      </w:r>
      <w:r w:rsidRPr="00EE369A">
        <w:rPr>
          <w:sz w:val="28"/>
          <w:szCs w:val="28"/>
        </w:rPr>
        <w:t>рун</w:t>
      </w:r>
      <w:r w:rsidRPr="00EE369A">
        <w:rPr>
          <w:sz w:val="28"/>
          <w:szCs w:val="28"/>
          <w:lang w:val="uk-UA"/>
        </w:rPr>
        <w:t>и – 1600,00 грн.;</w:t>
      </w:r>
    </w:p>
    <w:p w:rsidR="000B0239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 xml:space="preserve">адання вінка похоронного з траурною стрічкою (з написом чи без нього) – </w:t>
      </w:r>
      <w:r>
        <w:rPr>
          <w:sz w:val="28"/>
          <w:szCs w:val="28"/>
          <w:lang w:val="uk-UA"/>
        </w:rPr>
        <w:t>25</w:t>
      </w:r>
      <w:r w:rsidRPr="00EE369A">
        <w:rPr>
          <w:sz w:val="28"/>
          <w:szCs w:val="28"/>
          <w:lang w:val="uk-UA"/>
        </w:rPr>
        <w:t>0,00 грн.</w:t>
      </w:r>
      <w:r w:rsidRPr="002A3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(Інформація про середньо-визначену вартість ритуальних послуг та товарів на 1 поховання станом на 01.01.2021 року завірена  ФОП Юрченко В.В. додається).</w:t>
      </w: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firstLine="360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С</w:t>
      </w:r>
      <w:r w:rsidRPr="001749BD">
        <w:rPr>
          <w:sz w:val="28"/>
          <w:szCs w:val="28"/>
          <w:lang w:val="uk-UA" w:eastAsia="ar-SA"/>
        </w:rPr>
        <w:t>ередн</w:t>
      </w:r>
      <w:r>
        <w:rPr>
          <w:sz w:val="28"/>
          <w:szCs w:val="28"/>
          <w:lang w:val="uk-UA" w:eastAsia="ar-SA"/>
        </w:rPr>
        <w:t>я</w:t>
      </w:r>
      <w:r w:rsidRPr="001749BD">
        <w:rPr>
          <w:sz w:val="28"/>
          <w:szCs w:val="28"/>
          <w:lang w:val="uk-UA" w:eastAsia="ar-SA"/>
        </w:rPr>
        <w:t xml:space="preserve"> варт</w:t>
      </w:r>
      <w:r>
        <w:rPr>
          <w:sz w:val="28"/>
          <w:szCs w:val="28"/>
          <w:lang w:val="uk-UA" w:eastAsia="ar-SA"/>
        </w:rPr>
        <w:t>ість</w:t>
      </w:r>
      <w:r w:rsidRPr="001749BD">
        <w:rPr>
          <w:sz w:val="28"/>
          <w:szCs w:val="28"/>
          <w:lang w:val="uk-UA" w:eastAsia="ar-SA"/>
        </w:rPr>
        <w:t xml:space="preserve"> ритуальних послуг</w:t>
      </w:r>
      <w:r>
        <w:rPr>
          <w:sz w:val="28"/>
          <w:szCs w:val="28"/>
          <w:lang w:val="uk-UA" w:eastAsia="ar-SA"/>
        </w:rPr>
        <w:t xml:space="preserve"> на одне поховання</w:t>
      </w:r>
      <w:r w:rsidRPr="001749BD">
        <w:rPr>
          <w:sz w:val="28"/>
          <w:szCs w:val="28"/>
          <w:lang w:val="uk-UA" w:eastAsia="ar-SA"/>
        </w:rPr>
        <w:t>,</w:t>
      </w:r>
      <w:r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>
        <w:rPr>
          <w:sz w:val="28"/>
          <w:szCs w:val="28"/>
          <w:lang w:val="uk-UA" w:eastAsia="ar-SA"/>
        </w:rPr>
        <w:t>Брусилівської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територіальної громади станом на 01.01.2021 складає 7050,00 гривень в розрізі наступних окремих видів ритуальних послуг: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 w:rsidRPr="00EE369A">
        <w:rPr>
          <w:sz w:val="28"/>
          <w:szCs w:val="28"/>
          <w:lang w:val="uk-UA"/>
        </w:rPr>
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 – 2000,00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proofErr w:type="spellStart"/>
      <w:r w:rsidRPr="00EE369A">
        <w:rPr>
          <w:sz w:val="28"/>
          <w:szCs w:val="28"/>
        </w:rPr>
        <w:t>оставка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предметів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похоронної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належності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</w:t>
      </w:r>
      <w:proofErr w:type="spellStart"/>
      <w:r w:rsidRPr="00EE369A">
        <w:rPr>
          <w:sz w:val="28"/>
          <w:szCs w:val="28"/>
        </w:rPr>
        <w:t>завантаження</w:t>
      </w:r>
      <w:proofErr w:type="spellEnd"/>
      <w:r w:rsidRPr="00EE369A">
        <w:rPr>
          <w:sz w:val="28"/>
          <w:szCs w:val="28"/>
        </w:rPr>
        <w:t xml:space="preserve"> на </w:t>
      </w:r>
      <w:proofErr w:type="spellStart"/>
      <w:r w:rsidRPr="00EE369A">
        <w:rPr>
          <w:sz w:val="28"/>
          <w:szCs w:val="28"/>
        </w:rPr>
        <w:t>складі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перевезення</w:t>
      </w:r>
      <w:proofErr w:type="spellEnd"/>
      <w:r w:rsidRPr="00EE369A">
        <w:rPr>
          <w:sz w:val="28"/>
          <w:szCs w:val="28"/>
        </w:rPr>
        <w:t xml:space="preserve">, </w:t>
      </w:r>
      <w:proofErr w:type="spellStart"/>
      <w:r w:rsidRPr="00EE369A">
        <w:rPr>
          <w:sz w:val="28"/>
          <w:szCs w:val="28"/>
        </w:rPr>
        <w:t>вивантаження</w:t>
      </w:r>
      <w:proofErr w:type="spellEnd"/>
      <w:r w:rsidRPr="00EE369A">
        <w:rPr>
          <w:sz w:val="28"/>
          <w:szCs w:val="28"/>
        </w:rPr>
        <w:t xml:space="preserve"> на</w:t>
      </w:r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місці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призначення</w:t>
      </w:r>
      <w:proofErr w:type="spellEnd"/>
      <w:r w:rsidRPr="00EE369A"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 xml:space="preserve">та </w:t>
      </w:r>
      <w:proofErr w:type="spellStart"/>
      <w:r w:rsidRPr="00EE369A">
        <w:rPr>
          <w:sz w:val="28"/>
          <w:szCs w:val="28"/>
        </w:rPr>
        <w:t>перенесення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знаходження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тіла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350,00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 w:rsidRPr="00EE369A">
        <w:rPr>
          <w:sz w:val="28"/>
          <w:szCs w:val="28"/>
        </w:rPr>
        <w:t>адання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E369A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(один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</w:rPr>
        <w:t>автокатафалк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</w:t>
      </w:r>
      <w:r w:rsidRPr="00EE369A">
        <w:rPr>
          <w:sz w:val="28"/>
          <w:szCs w:val="28"/>
          <w:lang w:val="uk-UA"/>
        </w:rPr>
        <w:t>автобус супроводження</w:t>
      </w:r>
      <w:r w:rsidRPr="00EE369A">
        <w:rPr>
          <w:sz w:val="28"/>
          <w:szCs w:val="28"/>
        </w:rPr>
        <w:t>)</w:t>
      </w:r>
      <w:r w:rsidRPr="00EE369A">
        <w:rPr>
          <w:sz w:val="28"/>
          <w:szCs w:val="28"/>
          <w:lang w:val="uk-UA"/>
        </w:rPr>
        <w:t xml:space="preserve"> – 800,00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Pr="00EE369A">
        <w:rPr>
          <w:sz w:val="28"/>
          <w:szCs w:val="28"/>
        </w:rPr>
        <w:t>еренесення</w:t>
      </w:r>
      <w:proofErr w:type="spellEnd"/>
      <w:r w:rsidRPr="00EE369A">
        <w:rPr>
          <w:sz w:val="28"/>
          <w:szCs w:val="28"/>
        </w:rPr>
        <w:t xml:space="preserve"> труни з </w:t>
      </w:r>
      <w:proofErr w:type="spellStart"/>
      <w:r w:rsidRPr="00EE369A">
        <w:rPr>
          <w:sz w:val="28"/>
          <w:szCs w:val="28"/>
        </w:rPr>
        <w:t>тілом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померлого</w:t>
      </w:r>
      <w:proofErr w:type="spellEnd"/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 xml:space="preserve">), до моргу, з </w:t>
      </w:r>
      <w:proofErr w:type="spellStart"/>
      <w:r w:rsidRPr="00EE369A">
        <w:rPr>
          <w:sz w:val="28"/>
          <w:szCs w:val="28"/>
        </w:rPr>
        <w:t>будинку</w:t>
      </w:r>
      <w:proofErr w:type="spellEnd"/>
      <w:r w:rsidRPr="00EE369A">
        <w:rPr>
          <w:sz w:val="28"/>
          <w:szCs w:val="28"/>
        </w:rPr>
        <w:t xml:space="preserve"> (</w:t>
      </w:r>
      <w:proofErr w:type="spellStart"/>
      <w:r w:rsidRPr="00EE369A">
        <w:rPr>
          <w:sz w:val="28"/>
          <w:szCs w:val="28"/>
        </w:rPr>
        <w:t>квартири</w:t>
      </w:r>
      <w:proofErr w:type="spellEnd"/>
      <w:r w:rsidRPr="00EE369A">
        <w:rPr>
          <w:sz w:val="28"/>
          <w:szCs w:val="28"/>
        </w:rPr>
        <w:t>), моргу</w:t>
      </w:r>
      <w:r w:rsidRPr="00EE369A">
        <w:rPr>
          <w:sz w:val="28"/>
          <w:szCs w:val="28"/>
          <w:lang w:val="uk-UA"/>
        </w:rPr>
        <w:t>,</w:t>
      </w:r>
      <w:r w:rsidRPr="00EE369A">
        <w:rPr>
          <w:sz w:val="28"/>
          <w:szCs w:val="28"/>
        </w:rPr>
        <w:t xml:space="preserve"> до </w:t>
      </w:r>
      <w:proofErr w:type="spellStart"/>
      <w:r w:rsidRPr="00EE369A">
        <w:rPr>
          <w:sz w:val="28"/>
          <w:szCs w:val="28"/>
        </w:rPr>
        <w:t>місця</w:t>
      </w:r>
      <w:proofErr w:type="spellEnd"/>
      <w:r w:rsidRPr="00EE369A">
        <w:rPr>
          <w:sz w:val="28"/>
          <w:szCs w:val="28"/>
        </w:rPr>
        <w:t xml:space="preserve"> </w:t>
      </w:r>
      <w:proofErr w:type="spellStart"/>
      <w:r w:rsidRPr="00EE369A">
        <w:rPr>
          <w:sz w:val="28"/>
          <w:szCs w:val="28"/>
        </w:rPr>
        <w:t>поховання</w:t>
      </w:r>
      <w:proofErr w:type="spellEnd"/>
      <w:r w:rsidRPr="00EE369A">
        <w:rPr>
          <w:sz w:val="28"/>
          <w:szCs w:val="28"/>
        </w:rPr>
        <w:t xml:space="preserve">  </w:t>
      </w:r>
      <w:r w:rsidRPr="00EE369A">
        <w:rPr>
          <w:sz w:val="28"/>
          <w:szCs w:val="28"/>
          <w:lang w:val="uk-UA"/>
        </w:rPr>
        <w:t>- 400,00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т</w:t>
      </w:r>
      <w:r w:rsidRPr="00EE369A">
        <w:rPr>
          <w:sz w:val="28"/>
          <w:szCs w:val="28"/>
        </w:rPr>
        <w:t>рун</w:t>
      </w:r>
      <w:r w:rsidRPr="00EE369A">
        <w:rPr>
          <w:sz w:val="28"/>
          <w:szCs w:val="28"/>
          <w:lang w:val="uk-UA"/>
        </w:rPr>
        <w:t>и – 1600,00 грн.;</w:t>
      </w:r>
    </w:p>
    <w:p w:rsidR="000B0239" w:rsidRPr="00EE369A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EE369A">
        <w:rPr>
          <w:sz w:val="28"/>
          <w:szCs w:val="28"/>
          <w:lang w:val="uk-UA"/>
        </w:rPr>
        <w:t>рганізація поховання і проведення ритуалу – 1500,00 грн.;</w:t>
      </w:r>
    </w:p>
    <w:p w:rsidR="000B0239" w:rsidRDefault="000B0239" w:rsidP="000B0239">
      <w:pPr>
        <w:numPr>
          <w:ilvl w:val="0"/>
          <w:numId w:val="1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E369A">
        <w:rPr>
          <w:sz w:val="28"/>
          <w:szCs w:val="28"/>
          <w:lang w:val="uk-UA"/>
        </w:rPr>
        <w:t>адання вінка похоронного з траурною стрічкою (з написом чи без нього) – 400,00 грн.</w:t>
      </w:r>
    </w:p>
    <w:p w:rsidR="000B0239" w:rsidRDefault="000B0239" w:rsidP="000B0239">
      <w:pPr>
        <w:suppressAutoHyphens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ind w:left="720"/>
        <w:jc w:val="both"/>
        <w:rPr>
          <w:sz w:val="28"/>
          <w:szCs w:val="28"/>
          <w:lang w:val="uk-UA"/>
        </w:rPr>
      </w:pPr>
    </w:p>
    <w:p w:rsidR="000B0239" w:rsidRDefault="000B0239" w:rsidP="000B0239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</w:t>
      </w:r>
    </w:p>
    <w:p w:rsidR="000B0239" w:rsidRDefault="000B0239" w:rsidP="000B0239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власності селищної ради                                                           Тетяна БОРТНІЧУК</w:t>
      </w:r>
    </w:p>
    <w:p w:rsidR="000B0239" w:rsidRDefault="000B0239" w:rsidP="000B0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Default="000B0239" w:rsidP="000B0239">
      <w:pPr>
        <w:jc w:val="center"/>
        <w:rPr>
          <w:sz w:val="28"/>
          <w:szCs w:val="28"/>
          <w:lang w:val="uk-UA"/>
        </w:rPr>
      </w:pPr>
    </w:p>
    <w:p w:rsidR="000B0239" w:rsidRPr="00246934" w:rsidRDefault="000B0239" w:rsidP="000B0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Pr="00246934">
        <w:rPr>
          <w:sz w:val="28"/>
          <w:szCs w:val="28"/>
        </w:rPr>
        <w:t>Д</w:t>
      </w:r>
      <w:proofErr w:type="spellStart"/>
      <w:r>
        <w:rPr>
          <w:sz w:val="28"/>
          <w:szCs w:val="28"/>
          <w:lang w:val="uk-UA"/>
        </w:rPr>
        <w:t>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0B0239" w:rsidRPr="00246934" w:rsidRDefault="000B0239" w:rsidP="000B0239">
      <w:pPr>
        <w:jc w:val="center"/>
        <w:rPr>
          <w:sz w:val="28"/>
          <w:szCs w:val="28"/>
        </w:rPr>
      </w:pPr>
      <w:r w:rsidRPr="00246934">
        <w:rPr>
          <w:sz w:val="28"/>
          <w:szCs w:val="28"/>
        </w:rPr>
        <w:t xml:space="preserve">                                                               </w:t>
      </w:r>
      <w:r w:rsidRPr="00246934">
        <w:rPr>
          <w:sz w:val="28"/>
          <w:szCs w:val="28"/>
          <w:lang w:val="uk-UA"/>
        </w:rPr>
        <w:t xml:space="preserve"> </w:t>
      </w:r>
      <w:r w:rsidRPr="00246934">
        <w:rPr>
          <w:sz w:val="28"/>
          <w:szCs w:val="28"/>
        </w:rPr>
        <w:t xml:space="preserve"> </w:t>
      </w:r>
      <w:r w:rsidRPr="00246934">
        <w:rPr>
          <w:sz w:val="28"/>
          <w:szCs w:val="28"/>
          <w:lang w:val="uk-UA"/>
        </w:rPr>
        <w:t xml:space="preserve">           до </w:t>
      </w:r>
      <w:proofErr w:type="spellStart"/>
      <w:r w:rsidRPr="00246934">
        <w:rPr>
          <w:sz w:val="28"/>
          <w:szCs w:val="28"/>
        </w:rPr>
        <w:t>рішення</w:t>
      </w:r>
      <w:proofErr w:type="spellEnd"/>
      <w:r w:rsidRPr="00246934">
        <w:rPr>
          <w:sz w:val="28"/>
          <w:szCs w:val="28"/>
        </w:rPr>
        <w:t xml:space="preserve"> </w:t>
      </w:r>
      <w:proofErr w:type="spellStart"/>
      <w:r w:rsidRPr="00246934">
        <w:rPr>
          <w:sz w:val="28"/>
          <w:szCs w:val="28"/>
        </w:rPr>
        <w:t>виконкому</w:t>
      </w:r>
      <w:proofErr w:type="spellEnd"/>
    </w:p>
    <w:p w:rsidR="000B0239" w:rsidRDefault="000B0239" w:rsidP="000B0239">
      <w:pPr>
        <w:jc w:val="center"/>
        <w:rPr>
          <w:sz w:val="28"/>
          <w:szCs w:val="28"/>
        </w:rPr>
      </w:pPr>
      <w:r w:rsidRPr="00246934">
        <w:rPr>
          <w:sz w:val="28"/>
          <w:szCs w:val="28"/>
        </w:rPr>
        <w:t xml:space="preserve">                                                                               </w:t>
      </w:r>
      <w:r w:rsidRPr="00246934">
        <w:rPr>
          <w:sz w:val="28"/>
          <w:szCs w:val="28"/>
          <w:lang w:val="uk-UA"/>
        </w:rPr>
        <w:t xml:space="preserve">        </w:t>
      </w:r>
      <w:proofErr w:type="spellStart"/>
      <w:r w:rsidRPr="00246934">
        <w:rPr>
          <w:sz w:val="28"/>
          <w:szCs w:val="28"/>
        </w:rPr>
        <w:t>Брусилівської</w:t>
      </w:r>
      <w:proofErr w:type="spellEnd"/>
      <w:r w:rsidRPr="00246934">
        <w:rPr>
          <w:sz w:val="28"/>
          <w:szCs w:val="28"/>
        </w:rPr>
        <w:t xml:space="preserve"> </w:t>
      </w:r>
      <w:proofErr w:type="spellStart"/>
      <w:r w:rsidRPr="00246934">
        <w:rPr>
          <w:sz w:val="28"/>
          <w:szCs w:val="28"/>
        </w:rPr>
        <w:t>селищної</w:t>
      </w:r>
      <w:proofErr w:type="spellEnd"/>
      <w:r w:rsidRPr="00246934">
        <w:rPr>
          <w:sz w:val="28"/>
          <w:szCs w:val="28"/>
        </w:rPr>
        <w:t xml:space="preserve"> ради </w:t>
      </w:r>
    </w:p>
    <w:p w:rsidR="000B0239" w:rsidRPr="00253336" w:rsidRDefault="000B0239" w:rsidP="000B0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021767">
        <w:rPr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021767">
        <w:rPr>
          <w:sz w:val="28"/>
          <w:szCs w:val="28"/>
          <w:lang w:val="uk-UA"/>
        </w:rPr>
        <w:t xml:space="preserve">  17.03</w:t>
      </w:r>
      <w:r>
        <w:rPr>
          <w:sz w:val="28"/>
          <w:szCs w:val="28"/>
          <w:lang w:val="uk-UA"/>
        </w:rPr>
        <w:t>.2021 №</w:t>
      </w:r>
      <w:r w:rsidR="00021767">
        <w:rPr>
          <w:sz w:val="28"/>
          <w:szCs w:val="28"/>
          <w:lang w:val="uk-UA"/>
        </w:rPr>
        <w:t xml:space="preserve"> 192</w:t>
      </w:r>
    </w:p>
    <w:p w:rsidR="000B0239" w:rsidRPr="000B0239" w:rsidRDefault="000B0239" w:rsidP="000B0239">
      <w:pPr>
        <w:jc w:val="center"/>
        <w:rPr>
          <w:b/>
          <w:sz w:val="28"/>
          <w:szCs w:val="28"/>
          <w:lang w:val="uk-UA" w:eastAsia="ar-SA"/>
        </w:rPr>
      </w:pPr>
      <w:r w:rsidRPr="000B0239">
        <w:rPr>
          <w:b/>
          <w:sz w:val="28"/>
          <w:szCs w:val="28"/>
          <w:lang w:val="uk-UA" w:eastAsia="ar-SA"/>
        </w:rPr>
        <w:t>РОЗРАХУНОК</w:t>
      </w:r>
    </w:p>
    <w:p w:rsidR="000B0239" w:rsidRPr="000B0239" w:rsidRDefault="000B0239" w:rsidP="000B0239">
      <w:pPr>
        <w:jc w:val="center"/>
        <w:rPr>
          <w:b/>
          <w:sz w:val="28"/>
          <w:szCs w:val="28"/>
          <w:lang w:val="uk-UA" w:eastAsia="ar-SA"/>
        </w:rPr>
      </w:pPr>
      <w:r w:rsidRPr="000B0239">
        <w:rPr>
          <w:b/>
          <w:sz w:val="28"/>
          <w:szCs w:val="28"/>
          <w:lang w:val="uk-UA" w:eastAsia="ar-SA"/>
        </w:rPr>
        <w:t xml:space="preserve">середньої вартості ритуальних послуг на одне поховання, що склалася на території </w:t>
      </w:r>
      <w:proofErr w:type="spellStart"/>
      <w:r w:rsidRPr="000B0239">
        <w:rPr>
          <w:b/>
          <w:sz w:val="28"/>
          <w:szCs w:val="28"/>
          <w:lang w:val="uk-UA" w:eastAsia="ar-SA"/>
        </w:rPr>
        <w:t>Брусилівської</w:t>
      </w:r>
      <w:proofErr w:type="spellEnd"/>
      <w:r w:rsidRPr="000B0239">
        <w:rPr>
          <w:b/>
          <w:sz w:val="28"/>
          <w:szCs w:val="28"/>
          <w:lang w:val="uk-UA" w:eastAsia="ar-SA"/>
        </w:rPr>
        <w:t xml:space="preserve"> селищної територіальної громади </w:t>
      </w:r>
    </w:p>
    <w:p w:rsidR="000B0239" w:rsidRPr="000B0239" w:rsidRDefault="000B0239" w:rsidP="000B0239">
      <w:pPr>
        <w:jc w:val="center"/>
        <w:rPr>
          <w:b/>
          <w:sz w:val="28"/>
          <w:szCs w:val="28"/>
        </w:rPr>
      </w:pPr>
      <w:r w:rsidRPr="000B0239">
        <w:rPr>
          <w:b/>
          <w:sz w:val="28"/>
          <w:szCs w:val="28"/>
          <w:lang w:val="uk-UA" w:eastAsia="ar-SA"/>
        </w:rPr>
        <w:t>станом на 01.01.2021</w:t>
      </w:r>
    </w:p>
    <w:tbl>
      <w:tblPr>
        <w:tblpPr w:leftFromText="180" w:rightFromText="180" w:vertAnchor="text" w:horzAnchor="margin" w:tblpXSpec="center" w:tblpY="156"/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509"/>
        <w:gridCol w:w="1053"/>
        <w:gridCol w:w="1390"/>
        <w:gridCol w:w="1036"/>
        <w:gridCol w:w="1131"/>
      </w:tblGrid>
      <w:tr w:rsidR="000B0239" w:rsidRPr="00934A47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34A47">
              <w:t>№</w:t>
            </w:r>
          </w:p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34A47">
              <w:rPr>
                <w:lang w:val="uk-UA"/>
              </w:rPr>
              <w:t>з</w:t>
            </w:r>
            <w:r w:rsidRPr="00934A47">
              <w:t>/п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34A47">
              <w:t xml:space="preserve">Вид </w:t>
            </w:r>
            <w:proofErr w:type="spellStart"/>
            <w:r w:rsidRPr="00934A47">
              <w:t>послуг</w:t>
            </w:r>
            <w:proofErr w:type="spellEnd"/>
            <w:r w:rsidRPr="00934A47">
              <w:rPr>
                <w:lang w:val="uk-UA"/>
              </w:rPr>
              <w:t>и</w:t>
            </w:r>
          </w:p>
        </w:tc>
        <w:tc>
          <w:tcPr>
            <w:tcW w:w="1053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34A47">
              <w:rPr>
                <w:lang w:val="uk-UA"/>
              </w:rPr>
              <w:t xml:space="preserve">ФОП </w:t>
            </w:r>
            <w:proofErr w:type="spellStart"/>
            <w:r w:rsidRPr="00934A47">
              <w:rPr>
                <w:lang w:val="uk-UA"/>
              </w:rPr>
              <w:t>Романина</w:t>
            </w:r>
            <w:proofErr w:type="spellEnd"/>
            <w:r w:rsidRPr="00934A47">
              <w:rPr>
                <w:lang w:val="uk-UA"/>
              </w:rPr>
              <w:t xml:space="preserve"> О.П.</w:t>
            </w:r>
            <w:r>
              <w:rPr>
                <w:lang w:val="uk-UA"/>
              </w:rPr>
              <w:t xml:space="preserve"> вартість, грн.</w:t>
            </w:r>
          </w:p>
        </w:tc>
        <w:tc>
          <w:tcPr>
            <w:tcW w:w="1390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34A47">
              <w:rPr>
                <w:lang w:val="uk-UA"/>
              </w:rPr>
              <w:t xml:space="preserve">ФОП </w:t>
            </w:r>
            <w:proofErr w:type="spellStart"/>
            <w:r w:rsidRPr="00934A47">
              <w:rPr>
                <w:lang w:val="uk-UA"/>
              </w:rPr>
              <w:t>Горбановська</w:t>
            </w:r>
            <w:proofErr w:type="spellEnd"/>
            <w:r w:rsidRPr="00934A47">
              <w:rPr>
                <w:lang w:val="uk-UA"/>
              </w:rPr>
              <w:t xml:space="preserve"> Л.О.</w:t>
            </w:r>
            <w:r>
              <w:rPr>
                <w:lang w:val="uk-UA"/>
              </w:rPr>
              <w:t xml:space="preserve"> вартість, грн.</w:t>
            </w:r>
          </w:p>
        </w:tc>
        <w:tc>
          <w:tcPr>
            <w:tcW w:w="1036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934A47">
              <w:rPr>
                <w:lang w:val="uk-UA"/>
              </w:rPr>
              <w:t>ФОП</w:t>
            </w:r>
            <w:r>
              <w:rPr>
                <w:lang w:val="uk-UA"/>
              </w:rPr>
              <w:t xml:space="preserve"> Юрченко В.В. вартість, грн.</w:t>
            </w:r>
          </w:p>
        </w:tc>
        <w:tc>
          <w:tcPr>
            <w:tcW w:w="1131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rPr>
                <w:lang w:val="uk-UA"/>
              </w:rPr>
              <w:t>Середня вартість</w:t>
            </w:r>
            <w:r w:rsidRPr="00934A47">
              <w:t>, грн.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</w:rPr>
              <w:t>1</w:t>
            </w:r>
            <w:r w:rsidRPr="00934A4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934A47">
              <w:rPr>
                <w:sz w:val="18"/>
                <w:szCs w:val="18"/>
              </w:rPr>
              <w:t>Оформлення</w:t>
            </w:r>
            <w:proofErr w:type="spellEnd"/>
            <w:r w:rsidRPr="00934A47">
              <w:rPr>
                <w:sz w:val="18"/>
                <w:szCs w:val="18"/>
              </w:rPr>
              <w:t xml:space="preserve"> договору</w:t>
            </w:r>
            <w:r w:rsidRPr="00934A47">
              <w:rPr>
                <w:sz w:val="18"/>
                <w:szCs w:val="18"/>
                <w:lang w:val="uk-UA"/>
              </w:rPr>
              <w:t xml:space="preserve"> </w:t>
            </w:r>
            <w:r w:rsidRPr="00934A47">
              <w:rPr>
                <w:sz w:val="18"/>
                <w:szCs w:val="18"/>
              </w:rPr>
              <w:t>–</w:t>
            </w:r>
            <w:r w:rsidRPr="00934A47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934A47">
              <w:rPr>
                <w:sz w:val="18"/>
                <w:szCs w:val="18"/>
              </w:rPr>
              <w:t>замовлення</w:t>
            </w:r>
            <w:proofErr w:type="spellEnd"/>
            <w:r w:rsidRPr="00934A47">
              <w:rPr>
                <w:sz w:val="18"/>
                <w:szCs w:val="18"/>
              </w:rPr>
              <w:t xml:space="preserve">  на</w:t>
            </w:r>
            <w:proofErr w:type="gramEnd"/>
            <w:r w:rsidRPr="00934A47">
              <w:rPr>
                <w:sz w:val="18"/>
                <w:szCs w:val="18"/>
              </w:rPr>
              <w:t xml:space="preserve">  </w:t>
            </w:r>
            <w:proofErr w:type="spellStart"/>
            <w:r w:rsidRPr="00934A47">
              <w:rPr>
                <w:sz w:val="18"/>
                <w:szCs w:val="18"/>
              </w:rPr>
              <w:t>організацію</w:t>
            </w:r>
            <w:proofErr w:type="spellEnd"/>
            <w:r w:rsidRPr="00934A47">
              <w:rPr>
                <w:sz w:val="18"/>
                <w:szCs w:val="18"/>
              </w:rPr>
              <w:t xml:space="preserve"> та </w:t>
            </w:r>
            <w:proofErr w:type="spellStart"/>
            <w:r w:rsidRPr="00934A47">
              <w:rPr>
                <w:sz w:val="18"/>
                <w:szCs w:val="18"/>
              </w:rPr>
              <w:t>проведення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поховання</w:t>
            </w:r>
            <w:proofErr w:type="spellEnd"/>
            <w:r w:rsidRPr="00934A4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Оформлення свідоцтва про поховання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2000,00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2000,00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 xml:space="preserve">Монтаж та демонтаж намогильної споруди при організації </w:t>
            </w:r>
            <w:proofErr w:type="spellStart"/>
            <w:r w:rsidRPr="00934A47">
              <w:rPr>
                <w:sz w:val="18"/>
                <w:szCs w:val="18"/>
                <w:lang w:val="uk-UA"/>
              </w:rPr>
              <w:t>підпоховання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в існуючу могилу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Кремація тіл померлих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 xml:space="preserve">Поховання та </w:t>
            </w:r>
            <w:proofErr w:type="spellStart"/>
            <w:r w:rsidRPr="00934A47">
              <w:rPr>
                <w:sz w:val="18"/>
                <w:szCs w:val="18"/>
                <w:lang w:val="uk-UA"/>
              </w:rPr>
              <w:t>підпоховання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урни з прахом померлих у </w:t>
            </w:r>
            <w:proofErr w:type="spellStart"/>
            <w:r w:rsidRPr="00934A47">
              <w:rPr>
                <w:sz w:val="18"/>
                <w:szCs w:val="18"/>
                <w:lang w:val="uk-UA"/>
              </w:rPr>
              <w:t>колумбарну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нішу, в існуючу могилу, у землю та одноразове прибирання території після поховання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Зберігання урн з прахом померлих у крематорії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Організація відправлення труни з тілом чи урни з прахом померлого за межі України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Запаювання оцинкованої труни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10.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 xml:space="preserve">Замощення урни з прахом померлого у </w:t>
            </w:r>
            <w:proofErr w:type="spellStart"/>
            <w:r w:rsidRPr="00934A47">
              <w:rPr>
                <w:sz w:val="18"/>
                <w:szCs w:val="18"/>
                <w:lang w:val="uk-UA"/>
              </w:rPr>
              <w:t>колумбарну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нішу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34A47">
              <w:rPr>
                <w:sz w:val="18"/>
                <w:szCs w:val="18"/>
              </w:rPr>
              <w:t xml:space="preserve">Доставка </w:t>
            </w:r>
            <w:proofErr w:type="spellStart"/>
            <w:r w:rsidRPr="00934A47">
              <w:rPr>
                <w:sz w:val="18"/>
                <w:szCs w:val="18"/>
              </w:rPr>
              <w:t>предметів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похоронної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34A47">
              <w:rPr>
                <w:sz w:val="18"/>
                <w:szCs w:val="18"/>
              </w:rPr>
              <w:t>належності</w:t>
            </w:r>
            <w:proofErr w:type="spellEnd"/>
            <w:r w:rsidRPr="00934A47">
              <w:rPr>
                <w:sz w:val="18"/>
                <w:szCs w:val="18"/>
              </w:rPr>
              <w:t xml:space="preserve">  (</w:t>
            </w:r>
            <w:proofErr w:type="spellStart"/>
            <w:proofErr w:type="gramEnd"/>
            <w:r w:rsidRPr="00934A47">
              <w:rPr>
                <w:sz w:val="18"/>
                <w:szCs w:val="18"/>
              </w:rPr>
              <w:t>завантаження</w:t>
            </w:r>
            <w:proofErr w:type="spellEnd"/>
            <w:r w:rsidRPr="00934A47">
              <w:rPr>
                <w:sz w:val="18"/>
                <w:szCs w:val="18"/>
              </w:rPr>
              <w:t xml:space="preserve"> на </w:t>
            </w:r>
            <w:proofErr w:type="spellStart"/>
            <w:r w:rsidRPr="00934A47">
              <w:rPr>
                <w:sz w:val="18"/>
                <w:szCs w:val="18"/>
              </w:rPr>
              <w:t>складі</w:t>
            </w:r>
            <w:proofErr w:type="spellEnd"/>
            <w:r w:rsidRPr="00934A47">
              <w:rPr>
                <w:sz w:val="18"/>
                <w:szCs w:val="18"/>
              </w:rPr>
              <w:t xml:space="preserve">, </w:t>
            </w:r>
            <w:proofErr w:type="spellStart"/>
            <w:r w:rsidRPr="00934A47">
              <w:rPr>
                <w:sz w:val="18"/>
                <w:szCs w:val="18"/>
              </w:rPr>
              <w:t>перевезення</w:t>
            </w:r>
            <w:proofErr w:type="spellEnd"/>
            <w:r w:rsidRPr="00934A47">
              <w:rPr>
                <w:sz w:val="18"/>
                <w:szCs w:val="18"/>
              </w:rPr>
              <w:t xml:space="preserve">,   </w:t>
            </w:r>
            <w:proofErr w:type="spellStart"/>
            <w:r w:rsidRPr="00934A47">
              <w:rPr>
                <w:sz w:val="18"/>
                <w:szCs w:val="18"/>
              </w:rPr>
              <w:t>вивантаження</w:t>
            </w:r>
            <w:proofErr w:type="spellEnd"/>
            <w:r w:rsidRPr="00934A47">
              <w:rPr>
                <w:sz w:val="18"/>
                <w:szCs w:val="18"/>
              </w:rPr>
              <w:t xml:space="preserve"> на</w:t>
            </w:r>
            <w:r w:rsidRPr="00934A47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місці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призначення</w:t>
            </w:r>
            <w:proofErr w:type="spellEnd"/>
            <w:r w:rsidRPr="00934A47">
              <w:rPr>
                <w:sz w:val="18"/>
                <w:szCs w:val="18"/>
                <w:lang w:val="uk-UA"/>
              </w:rPr>
              <w:t xml:space="preserve"> </w:t>
            </w:r>
            <w:r w:rsidRPr="00934A47">
              <w:rPr>
                <w:sz w:val="18"/>
                <w:szCs w:val="18"/>
              </w:rPr>
              <w:t xml:space="preserve">та </w:t>
            </w:r>
            <w:proofErr w:type="spellStart"/>
            <w:r w:rsidRPr="00934A47">
              <w:rPr>
                <w:sz w:val="18"/>
                <w:szCs w:val="18"/>
              </w:rPr>
              <w:t>перенесення</w:t>
            </w:r>
            <w:proofErr w:type="spellEnd"/>
            <w:r w:rsidRPr="00934A47">
              <w:rPr>
                <w:sz w:val="18"/>
                <w:szCs w:val="18"/>
              </w:rPr>
              <w:t xml:space="preserve"> до </w:t>
            </w:r>
            <w:proofErr w:type="spellStart"/>
            <w:r w:rsidRPr="00934A47">
              <w:rPr>
                <w:sz w:val="18"/>
                <w:szCs w:val="18"/>
              </w:rPr>
              <w:t>місця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знаходження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тіла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померлого</w:t>
            </w:r>
            <w:proofErr w:type="spellEnd"/>
            <w:r w:rsidRPr="00934A47">
              <w:rPr>
                <w:sz w:val="18"/>
                <w:szCs w:val="18"/>
              </w:rPr>
              <w:t>)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350,00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934A47">
              <w:rPr>
                <w:sz w:val="18"/>
                <w:szCs w:val="18"/>
              </w:rPr>
              <w:t>Надання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34A47">
              <w:rPr>
                <w:sz w:val="18"/>
                <w:szCs w:val="18"/>
              </w:rPr>
              <w:t>транспортних</w:t>
            </w:r>
            <w:proofErr w:type="spellEnd"/>
            <w:r w:rsidRPr="00934A47">
              <w:rPr>
                <w:sz w:val="18"/>
                <w:szCs w:val="18"/>
              </w:rPr>
              <w:t xml:space="preserve">  </w:t>
            </w:r>
            <w:proofErr w:type="spellStart"/>
            <w:r w:rsidRPr="00934A47">
              <w:rPr>
                <w:sz w:val="18"/>
                <w:szCs w:val="18"/>
              </w:rPr>
              <w:t>послуг</w:t>
            </w:r>
            <w:proofErr w:type="spellEnd"/>
            <w:proofErr w:type="gramEnd"/>
            <w:r w:rsidRPr="00934A47">
              <w:rPr>
                <w:sz w:val="18"/>
                <w:szCs w:val="18"/>
              </w:rPr>
              <w:t xml:space="preserve">  (один  автокатафалк</w:t>
            </w:r>
            <w:r w:rsidRPr="00934A47">
              <w:rPr>
                <w:sz w:val="18"/>
                <w:szCs w:val="18"/>
                <w:lang w:val="uk-UA"/>
              </w:rPr>
              <w:t xml:space="preserve"> та один автобус супроводження</w:t>
            </w:r>
            <w:r w:rsidRPr="00934A47">
              <w:rPr>
                <w:sz w:val="18"/>
                <w:szCs w:val="18"/>
              </w:rPr>
              <w:t>)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800,00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800,00</w:t>
            </w:r>
          </w:p>
        </w:tc>
      </w:tr>
      <w:tr w:rsidR="000B0239" w:rsidRPr="00576C34" w:rsidTr="007616C0">
        <w:trPr>
          <w:trHeight w:val="571"/>
        </w:trPr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13.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934A47">
              <w:rPr>
                <w:sz w:val="18"/>
                <w:szCs w:val="18"/>
              </w:rPr>
              <w:t>Перенесення</w:t>
            </w:r>
            <w:proofErr w:type="spellEnd"/>
            <w:r w:rsidRPr="00934A47">
              <w:rPr>
                <w:sz w:val="18"/>
                <w:szCs w:val="18"/>
              </w:rPr>
              <w:t xml:space="preserve"> труни з </w:t>
            </w:r>
            <w:proofErr w:type="spellStart"/>
            <w:r w:rsidRPr="00934A47">
              <w:rPr>
                <w:sz w:val="18"/>
                <w:szCs w:val="18"/>
              </w:rPr>
              <w:t>тілом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померлого</w:t>
            </w:r>
            <w:proofErr w:type="spellEnd"/>
            <w:r w:rsidRPr="00934A47">
              <w:rPr>
                <w:sz w:val="18"/>
                <w:szCs w:val="18"/>
              </w:rPr>
              <w:t xml:space="preserve"> до </w:t>
            </w:r>
            <w:proofErr w:type="spellStart"/>
            <w:r w:rsidRPr="00934A47">
              <w:rPr>
                <w:sz w:val="18"/>
                <w:szCs w:val="18"/>
              </w:rPr>
              <w:t>будинку</w:t>
            </w:r>
            <w:proofErr w:type="spellEnd"/>
            <w:r w:rsidRPr="00934A47">
              <w:rPr>
                <w:sz w:val="18"/>
                <w:szCs w:val="18"/>
              </w:rPr>
              <w:t xml:space="preserve"> (</w:t>
            </w:r>
            <w:proofErr w:type="spellStart"/>
            <w:r w:rsidRPr="00934A47">
              <w:rPr>
                <w:sz w:val="18"/>
                <w:szCs w:val="18"/>
              </w:rPr>
              <w:t>квартири</w:t>
            </w:r>
            <w:proofErr w:type="spellEnd"/>
            <w:r w:rsidRPr="00934A47">
              <w:rPr>
                <w:sz w:val="18"/>
                <w:szCs w:val="18"/>
              </w:rPr>
              <w:t xml:space="preserve">), до моргу, з </w:t>
            </w:r>
            <w:proofErr w:type="spellStart"/>
            <w:r w:rsidRPr="00934A47">
              <w:rPr>
                <w:sz w:val="18"/>
                <w:szCs w:val="18"/>
              </w:rPr>
              <w:t>будинку</w:t>
            </w:r>
            <w:proofErr w:type="spellEnd"/>
            <w:r w:rsidRPr="00934A47">
              <w:rPr>
                <w:sz w:val="18"/>
                <w:szCs w:val="18"/>
              </w:rPr>
              <w:t xml:space="preserve"> (</w:t>
            </w:r>
            <w:proofErr w:type="spellStart"/>
            <w:r w:rsidRPr="00934A47">
              <w:rPr>
                <w:sz w:val="18"/>
                <w:szCs w:val="18"/>
              </w:rPr>
              <w:t>квартири</w:t>
            </w:r>
            <w:proofErr w:type="spellEnd"/>
            <w:r w:rsidRPr="00934A47">
              <w:rPr>
                <w:sz w:val="18"/>
                <w:szCs w:val="18"/>
              </w:rPr>
              <w:t>), моргу</w:t>
            </w:r>
            <w:r w:rsidRPr="00934A47">
              <w:rPr>
                <w:sz w:val="18"/>
                <w:szCs w:val="18"/>
                <w:lang w:val="uk-UA"/>
              </w:rPr>
              <w:t>,</w:t>
            </w:r>
            <w:r w:rsidRPr="00934A47">
              <w:rPr>
                <w:sz w:val="18"/>
                <w:szCs w:val="18"/>
              </w:rPr>
              <w:t xml:space="preserve"> до </w:t>
            </w:r>
            <w:proofErr w:type="spellStart"/>
            <w:r w:rsidRPr="00934A47">
              <w:rPr>
                <w:sz w:val="18"/>
                <w:szCs w:val="18"/>
              </w:rPr>
              <w:t>місця</w:t>
            </w:r>
            <w:proofErr w:type="spellEnd"/>
            <w:r w:rsidRPr="00934A47">
              <w:rPr>
                <w:sz w:val="18"/>
                <w:szCs w:val="18"/>
              </w:rPr>
              <w:t xml:space="preserve"> </w:t>
            </w:r>
            <w:proofErr w:type="spellStart"/>
            <w:r w:rsidRPr="00934A47">
              <w:rPr>
                <w:sz w:val="18"/>
                <w:szCs w:val="18"/>
              </w:rPr>
              <w:t>поховання</w:t>
            </w:r>
            <w:proofErr w:type="spellEnd"/>
            <w:r w:rsidRPr="00934A4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500,00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14.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Надання т</w:t>
            </w:r>
            <w:r w:rsidRPr="00934A47">
              <w:rPr>
                <w:sz w:val="18"/>
                <w:szCs w:val="18"/>
              </w:rPr>
              <w:t>рун</w:t>
            </w:r>
            <w:r w:rsidRPr="00934A47">
              <w:rPr>
                <w:sz w:val="18"/>
                <w:szCs w:val="18"/>
                <w:lang w:val="uk-UA"/>
              </w:rPr>
              <w:t>и</w:t>
            </w:r>
          </w:p>
        </w:tc>
        <w:tc>
          <w:tcPr>
            <w:tcW w:w="1053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1200,00</w:t>
            </w:r>
          </w:p>
        </w:tc>
        <w:tc>
          <w:tcPr>
            <w:tcW w:w="1390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1800,00</w:t>
            </w:r>
          </w:p>
        </w:tc>
        <w:tc>
          <w:tcPr>
            <w:tcW w:w="1036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1600,00</w:t>
            </w:r>
          </w:p>
        </w:tc>
        <w:tc>
          <w:tcPr>
            <w:tcW w:w="1131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1600,00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15.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Надання урни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16.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Організація поховання і проведення ритуалу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1500,00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17.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Надання вінка похоронного з траурною стрічкою (з написом чи без нього)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400,00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250,00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400,00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18.</w:t>
            </w: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 w:rsidRPr="00934A47">
              <w:rPr>
                <w:sz w:val="18"/>
                <w:szCs w:val="18"/>
                <w:lang w:val="uk-UA"/>
              </w:rPr>
              <w:t>Кремація</w:t>
            </w:r>
          </w:p>
        </w:tc>
        <w:tc>
          <w:tcPr>
            <w:tcW w:w="1053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90" w:type="dxa"/>
          </w:tcPr>
          <w:p w:rsidR="000B0239" w:rsidRPr="00AD4291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  </w:t>
            </w:r>
          </w:p>
        </w:tc>
        <w:tc>
          <w:tcPr>
            <w:tcW w:w="1036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131" w:type="dxa"/>
          </w:tcPr>
          <w:p w:rsidR="000B0239" w:rsidRPr="007407F8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0B0239" w:rsidRPr="00576C34" w:rsidTr="007616C0">
        <w:tc>
          <w:tcPr>
            <w:tcW w:w="622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509" w:type="dxa"/>
          </w:tcPr>
          <w:p w:rsidR="000B0239" w:rsidRPr="00934A47" w:rsidRDefault="000B0239" w:rsidP="007616C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Підсумкова вартість:</w:t>
            </w:r>
          </w:p>
        </w:tc>
        <w:tc>
          <w:tcPr>
            <w:tcW w:w="1053" w:type="dxa"/>
          </w:tcPr>
          <w:p w:rsidR="000B0239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90" w:type="dxa"/>
          </w:tcPr>
          <w:p w:rsidR="000B0239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6" w:type="dxa"/>
          </w:tcPr>
          <w:p w:rsidR="000B0239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1" w:type="dxa"/>
          </w:tcPr>
          <w:p w:rsidR="000B0239" w:rsidRDefault="000B0239" w:rsidP="007616C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7050,00</w:t>
            </w:r>
          </w:p>
        </w:tc>
      </w:tr>
    </w:tbl>
    <w:p w:rsidR="000B0239" w:rsidRDefault="000B0239" w:rsidP="000B0239">
      <w:pPr>
        <w:suppressAutoHyphens/>
        <w:jc w:val="both"/>
        <w:rPr>
          <w:sz w:val="24"/>
          <w:szCs w:val="24"/>
          <w:lang w:val="uk-UA" w:eastAsia="ar-SA"/>
        </w:rPr>
      </w:pPr>
      <w:r w:rsidRPr="005D232B">
        <w:rPr>
          <w:sz w:val="24"/>
          <w:szCs w:val="24"/>
          <w:lang w:val="uk-UA" w:eastAsia="ar-SA"/>
        </w:rPr>
        <w:t xml:space="preserve">     </w:t>
      </w:r>
    </w:p>
    <w:p w:rsidR="000B0239" w:rsidRDefault="000B0239" w:rsidP="000B0239">
      <w:pPr>
        <w:suppressAutoHyphens/>
        <w:ind w:firstLine="708"/>
        <w:jc w:val="both"/>
        <w:rPr>
          <w:sz w:val="24"/>
          <w:szCs w:val="24"/>
          <w:lang w:val="uk-UA" w:eastAsia="ar-SA"/>
        </w:rPr>
      </w:pPr>
      <w:r w:rsidRPr="005D232B">
        <w:rPr>
          <w:sz w:val="24"/>
          <w:szCs w:val="24"/>
          <w:lang w:val="uk-UA" w:eastAsia="ar-SA"/>
        </w:rPr>
        <w:t>Примітка. Департаментом праці, соціальної та сімейної політики Житомирської обласної державної адміністрації встановлено фінансовий норматив бюджетного забезпечення для здійснення одного поховання померлого учасника бойових дій, постраждалого учасника Революції Гідності або особи з інвалідністю внаслідок війни в сумі 2240 гривень 20 копійок. (Середня ціна з врахуванням максимальної вартості по Житомирській області складає 2 087 гривень 80 копійок).</w:t>
      </w:r>
    </w:p>
    <w:p w:rsidR="000B0239" w:rsidRDefault="000B0239" w:rsidP="000B0239">
      <w:pPr>
        <w:suppressAutoHyphens/>
        <w:jc w:val="both"/>
        <w:rPr>
          <w:sz w:val="24"/>
          <w:szCs w:val="24"/>
          <w:lang w:val="uk-UA" w:eastAsia="ar-SA"/>
        </w:rPr>
      </w:pPr>
    </w:p>
    <w:p w:rsidR="000B0239" w:rsidRPr="005D232B" w:rsidRDefault="000B0239" w:rsidP="000B0239">
      <w:pPr>
        <w:suppressAutoHyphens/>
        <w:jc w:val="both"/>
        <w:rPr>
          <w:sz w:val="24"/>
          <w:szCs w:val="24"/>
          <w:lang w:val="uk-UA" w:eastAsia="ar-SA"/>
        </w:rPr>
      </w:pPr>
    </w:p>
    <w:p w:rsidR="00DD4604" w:rsidRPr="00994F51" w:rsidRDefault="000B0239" w:rsidP="000B0239">
      <w:pPr>
        <w:suppressAutoHyphens/>
        <w:rPr>
          <w:sz w:val="28"/>
          <w:szCs w:val="28"/>
        </w:rPr>
      </w:pPr>
      <w:r>
        <w:rPr>
          <w:sz w:val="28"/>
          <w:szCs w:val="28"/>
          <w:lang w:val="uk-UA" w:eastAsia="ar-SA"/>
        </w:rPr>
        <w:t xml:space="preserve">Заступник селищного </w:t>
      </w:r>
      <w:r>
        <w:rPr>
          <w:sz w:val="28"/>
          <w:szCs w:val="28"/>
          <w:lang w:val="uk-UA"/>
        </w:rPr>
        <w:t xml:space="preserve">                                                           Василь ЗАХАРЧЕНКО</w:t>
      </w:r>
    </w:p>
    <w:sectPr w:rsidR="00DD4604" w:rsidRPr="00994F51" w:rsidSect="00994F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97"/>
    <w:rsid w:val="00007FC1"/>
    <w:rsid w:val="00021767"/>
    <w:rsid w:val="000B0239"/>
    <w:rsid w:val="001D37D5"/>
    <w:rsid w:val="00440B6D"/>
    <w:rsid w:val="005315BB"/>
    <w:rsid w:val="006B2897"/>
    <w:rsid w:val="007A3B00"/>
    <w:rsid w:val="00994F51"/>
    <w:rsid w:val="00A76B1F"/>
    <w:rsid w:val="00DD4604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485D-824E-48CA-9DFF-416128A4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994F51"/>
    <w:pPr>
      <w:keepNext/>
      <w:jc w:val="center"/>
      <w:outlineLvl w:val="4"/>
    </w:pPr>
    <w:rPr>
      <w:b/>
      <w:sz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994F51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94F51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994F51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994F5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76B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37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37D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13</cp:revision>
  <cp:lastPrinted>2021-03-11T12:40:00Z</cp:lastPrinted>
  <dcterms:created xsi:type="dcterms:W3CDTF">2021-03-10T08:37:00Z</dcterms:created>
  <dcterms:modified xsi:type="dcterms:W3CDTF">2021-03-16T08:29:00Z</dcterms:modified>
</cp:coreProperties>
</file>