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655" w:rsidRDefault="004327D1" w:rsidP="00A706F6">
      <w:pPr>
        <w:widowControl/>
        <w:spacing w:after="0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</w:p>
    <w:p w:rsidR="00856655" w:rsidRDefault="002D5597" w:rsidP="00D172EC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розпорядження голови</w:t>
      </w:r>
    </w:p>
    <w:p w:rsidR="00856655" w:rsidRDefault="002D5597" w:rsidP="00D172EC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облдержадміністрації</w:t>
      </w:r>
    </w:p>
    <w:p w:rsidR="00856655" w:rsidRDefault="002D5597" w:rsidP="00D172EC">
      <w:pPr>
        <w:widowControl/>
        <w:autoSpaceDE w:val="0"/>
        <w:autoSpaceDN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sz w:val="28"/>
          <w:szCs w:val="28"/>
        </w:rPr>
        <w:t>від_________ №_________</w:t>
      </w:r>
    </w:p>
    <w:p w:rsidR="00856655" w:rsidRPr="001436DB" w:rsidRDefault="00856655">
      <w:pPr>
        <w:widowControl/>
        <w:autoSpaceDE w:val="0"/>
        <w:autoSpaceDN w:val="0"/>
        <w:ind w:left="5954"/>
        <w:rPr>
          <w:rFonts w:ascii="Times New Roman" w:eastAsia="Times New Roman" w:hAnsi="Times New Roman" w:cs="Times New Roman"/>
          <w:b/>
          <w:color w:val="auto"/>
          <w:sz w:val="2"/>
          <w:szCs w:val="28"/>
          <w:lang w:bidi="ar-SA"/>
        </w:rPr>
      </w:pPr>
    </w:p>
    <w:p w:rsidR="00856655" w:rsidRPr="004327D1" w:rsidRDefault="002D5597" w:rsidP="004327D1">
      <w:pPr>
        <w:widowControl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327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ПЕРЕЛІК</w:t>
      </w:r>
    </w:p>
    <w:p w:rsidR="00856655" w:rsidRPr="004327D1" w:rsidRDefault="002D5597">
      <w:pPr>
        <w:widowControl/>
        <w:autoSpaceDE w:val="0"/>
        <w:autoSpaceDN w:val="0"/>
        <w:jc w:val="center"/>
        <w:rPr>
          <w:rStyle w:val="1"/>
          <w:rFonts w:eastAsia="Courier New"/>
          <w:b/>
          <w:sz w:val="28"/>
          <w:szCs w:val="28"/>
        </w:rPr>
      </w:pPr>
      <w:r w:rsidRPr="004327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електросирен для безоплатної передачі департаментом з питань цивільного захисту облдержадміністрації на відповідальне збері</w:t>
      </w:r>
      <w:r w:rsidR="00946C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гання </w:t>
      </w:r>
      <w:r w:rsidRPr="004327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4327D1">
        <w:rPr>
          <w:rStyle w:val="1"/>
          <w:rFonts w:eastAsia="Courier New"/>
          <w:b/>
          <w:sz w:val="28"/>
          <w:szCs w:val="28"/>
        </w:rPr>
        <w:t>підприємствам, установам та організаціям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87"/>
        <w:gridCol w:w="2075"/>
        <w:gridCol w:w="4133"/>
        <w:gridCol w:w="2633"/>
      </w:tblGrid>
      <w:tr w:rsidR="00856655" w:rsidRPr="00D172EC" w:rsidTr="00D172EC">
        <w:trPr>
          <w:tblHeader/>
        </w:trPr>
        <w:tc>
          <w:tcPr>
            <w:tcW w:w="800" w:type="dxa"/>
          </w:tcPr>
          <w:p w:rsidR="00856655" w:rsidRPr="00D172EC" w:rsidRDefault="002D5597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72E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 з/п</w:t>
            </w:r>
          </w:p>
        </w:tc>
        <w:tc>
          <w:tcPr>
            <w:tcW w:w="2098" w:type="dxa"/>
          </w:tcPr>
          <w:p w:rsidR="00856655" w:rsidRPr="00D172EC" w:rsidRDefault="002D5597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72E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Інвентарний номер, тип сирени</w:t>
            </w:r>
          </w:p>
        </w:tc>
        <w:tc>
          <w:tcPr>
            <w:tcW w:w="4195" w:type="dxa"/>
          </w:tcPr>
          <w:p w:rsidR="00856655" w:rsidRPr="00D172EC" w:rsidRDefault="002D5597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72E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Назва підприємства, установи, організації</w:t>
            </w:r>
            <w:r w:rsidR="004327D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,</w:t>
            </w:r>
            <w:r w:rsidR="00721625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якій передається електросирена</w:t>
            </w:r>
          </w:p>
        </w:tc>
        <w:tc>
          <w:tcPr>
            <w:tcW w:w="2665" w:type="dxa"/>
          </w:tcPr>
          <w:p w:rsidR="00856655" w:rsidRPr="00D172EC" w:rsidRDefault="00721625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Адреса</w:t>
            </w:r>
            <w:r w:rsidR="004327D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="002D5597" w:rsidRPr="00D172E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де встановлена електросирена 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098" w:type="dxa"/>
          </w:tcPr>
          <w:p w:rsidR="00A11A26" w:rsidRDefault="004E339C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463, трофейна</w:t>
            </w:r>
            <w:r w:rsidR="00A11A2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</w:p>
          <w:p w:rsidR="00856655" w:rsidRPr="00E43FDA" w:rsidRDefault="00A11A26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ЛКП “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Вулецьке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”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м. Львів, </w:t>
            </w:r>
            <w:r w:rsidR="00FA7940" w:rsidRPr="00E43FDA">
              <w:rPr>
                <w:rFonts w:ascii="Times New Roman" w:eastAsia="SimSun" w:hAnsi="Times New Roman" w:cs="Times New Roman"/>
                <w:color w:val="auto"/>
                <w:shd w:val="clear" w:color="auto" w:fill="FFFFFF"/>
              </w:rPr>
              <w:t>вул. Братів Тимошенків, 2а</w:t>
            </w:r>
            <w:r w:rsidRPr="00E43FDA">
              <w:rPr>
                <w:rFonts w:ascii="Times New Roman" w:eastAsia="SimSun" w:hAnsi="Times New Roman" w:cs="Times New Roman"/>
                <w:color w:val="auto"/>
                <w:shd w:val="clear" w:color="auto" w:fill="FFFFFF"/>
              </w:rPr>
              <w:t>,</w:t>
            </w:r>
          </w:p>
        </w:tc>
        <w:tc>
          <w:tcPr>
            <w:tcW w:w="2665" w:type="dxa"/>
          </w:tcPr>
          <w:p w:rsidR="0072162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Житловий будинок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Рудницького, 1</w:t>
            </w:r>
          </w:p>
        </w:tc>
      </w:tr>
      <w:tr w:rsidR="0002702D" w:rsidRPr="0002702D">
        <w:tc>
          <w:tcPr>
            <w:tcW w:w="800" w:type="dxa"/>
          </w:tcPr>
          <w:p w:rsidR="00856655" w:rsidRPr="0002702D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2098" w:type="dxa"/>
          </w:tcPr>
          <w:p w:rsidR="00856655" w:rsidRPr="0002702D" w:rsidRDefault="00DE682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464, С-43,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АМ</w:t>
            </w:r>
          </w:p>
        </w:tc>
        <w:tc>
          <w:tcPr>
            <w:tcW w:w="4195" w:type="dxa"/>
          </w:tcPr>
          <w:p w:rsidR="00856655" w:rsidRPr="0002702D" w:rsidRDefault="00B45344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ОСББ “Велика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Вікторія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-2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”, 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Остроградських, 2/53</w:t>
            </w:r>
          </w:p>
        </w:tc>
        <w:tc>
          <w:tcPr>
            <w:tcW w:w="2665" w:type="dxa"/>
          </w:tcPr>
          <w:p w:rsidR="00721625" w:rsidRPr="0002702D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Житловий будинок</w:t>
            </w:r>
            <w:r w:rsidR="00FA7940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:rsidR="00856655" w:rsidRPr="0002702D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Остроградських, 2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465, С-28, П-164А</w:t>
            </w:r>
          </w:p>
        </w:tc>
        <w:tc>
          <w:tcPr>
            <w:tcW w:w="4195" w:type="dxa"/>
          </w:tcPr>
          <w:p w:rsidR="00856655" w:rsidRPr="00E43FDA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Львівська філія К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онцерну РРТ,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Високий Замок, 6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Високий Замок, 6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468, С-43, АМ</w:t>
            </w:r>
          </w:p>
        </w:tc>
        <w:tc>
          <w:tcPr>
            <w:tcW w:w="4195" w:type="dxa"/>
          </w:tcPr>
          <w:p w:rsidR="00856655" w:rsidRPr="00E43FDA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ТЗДВ “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Львівський завод фрезерних верстатів”, м. Львів, вул. Зелена, 149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Зелена, 149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469, С-43,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ЛМКП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Львівводоканал”,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Зелена, 64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Зелена, 64</w:t>
            </w:r>
          </w:p>
        </w:tc>
      </w:tr>
      <w:tr w:rsidR="0002702D" w:rsidRPr="0002702D">
        <w:tc>
          <w:tcPr>
            <w:tcW w:w="800" w:type="dxa"/>
          </w:tcPr>
          <w:p w:rsidR="00856655" w:rsidRPr="0002702D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2098" w:type="dxa"/>
          </w:tcPr>
          <w:p w:rsidR="00856655" w:rsidRPr="0002702D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470, С-40, П-164А</w:t>
            </w:r>
          </w:p>
        </w:tc>
        <w:tc>
          <w:tcPr>
            <w:tcW w:w="4195" w:type="dxa"/>
          </w:tcPr>
          <w:p w:rsidR="00856655" w:rsidRPr="0002702D" w:rsidRDefault="0002702D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Приватне акціонерне </w:t>
            </w:r>
            <w:proofErr w:type="spellStart"/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товариство</w:t>
            </w:r>
            <w:r w:rsidR="00FA7940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“</w:t>
            </w:r>
            <w:r w:rsidR="0095004A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Національна</w:t>
            </w:r>
            <w:proofErr w:type="spellEnd"/>
            <w:r w:rsidR="0095004A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енергетична компанія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“Укренерго”, 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м. Львів, вул. </w:t>
            </w:r>
            <w:proofErr w:type="spellStart"/>
            <w:r w:rsidR="00FA7940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Свє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нціцького</w:t>
            </w:r>
            <w:proofErr w:type="spellEnd"/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2</w:t>
            </w:r>
          </w:p>
        </w:tc>
        <w:tc>
          <w:tcPr>
            <w:tcW w:w="2665" w:type="dxa"/>
          </w:tcPr>
          <w:p w:rsidR="00856655" w:rsidRPr="0002702D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Свє</w:t>
            </w:r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нціцького</w:t>
            </w:r>
            <w:proofErr w:type="spellEnd"/>
            <w:r w:rsidR="002D5597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2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471, С-40,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Комунальне підприємство “ЕКО-МІСТО”, Львівська обл.,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Борислав, вул. Івасюка, 9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Борислав,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Івасюка, 9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472,С-43,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ПрАТ “Львівський холодокомбінат”, м. Львів, вул. Повітряна, 2 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Повітряна, 2 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2098" w:type="dxa"/>
          </w:tcPr>
          <w:p w:rsidR="00856655" w:rsidRPr="00E43FDA" w:rsidRDefault="00DD63A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474, С-40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ЛКП “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Житловик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-С”,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 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Гната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Хоткевича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38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вул.Гната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Хоткевича,38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2098" w:type="dxa"/>
          </w:tcPr>
          <w:p w:rsidR="00856655" w:rsidRPr="00E43FDA" w:rsidRDefault="004E339C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475, С-43</w:t>
            </w:r>
            <w:r w:rsidR="00B17F7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B17F75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ТОВ “КФ “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Ярич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”, Львівська обл., Кам'янка-Бузький р-н,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с. Старий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Яричів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вул. Заводська,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Львівська обл., Кам'янка-Бузький р-н, с. Старий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Яричів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Заводська,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2098" w:type="dxa"/>
          </w:tcPr>
          <w:p w:rsidR="00856655" w:rsidRPr="00E43FDA" w:rsidRDefault="004E339C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478, С-43</w:t>
            </w:r>
            <w:r w:rsidR="00B17F7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B17F75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Екологічний коледж Львівського національного аграрного університету,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м. Львів, 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Замарстинівська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167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Замарстинівська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167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480, С-43,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ПрАТ “Мікроприлад”,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Ніщинського, 35</w:t>
            </w:r>
          </w:p>
        </w:tc>
        <w:tc>
          <w:tcPr>
            <w:tcW w:w="2665" w:type="dxa"/>
          </w:tcPr>
          <w:p w:rsidR="0072162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Ніщинського, 35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D155C2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483, С-43, АМ</w:t>
            </w:r>
          </w:p>
        </w:tc>
        <w:tc>
          <w:tcPr>
            <w:tcW w:w="4195" w:type="dxa"/>
          </w:tcPr>
          <w:p w:rsidR="004E339C" w:rsidRPr="00E43FDA" w:rsidRDefault="00CA27F8" w:rsidP="002713F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ОВ “</w:t>
            </w:r>
            <w:proofErr w:type="spellStart"/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Лемберг</w:t>
            </w:r>
            <w:proofErr w:type="spellEnd"/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Індастріал</w:t>
            </w:r>
            <w:proofErr w:type="spellEnd"/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арк”,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Городоцька, 207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Городоцька, 207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2098" w:type="dxa"/>
          </w:tcPr>
          <w:p w:rsidR="00856655" w:rsidRPr="00E43FDA" w:rsidRDefault="004E339C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486, С-43</w:t>
            </w:r>
            <w:r w:rsidR="00A11A2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АМ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ПрАТ “Львівський локомотиворемонтний завод” АТ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“Укрзалізниця”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Залізнична, 1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Залізнична, 1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</w:t>
            </w:r>
          </w:p>
        </w:tc>
        <w:tc>
          <w:tcPr>
            <w:tcW w:w="2098" w:type="dxa"/>
          </w:tcPr>
          <w:p w:rsidR="00856655" w:rsidRPr="00E43FDA" w:rsidRDefault="00F15D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487, С-40</w:t>
            </w:r>
            <w:r w:rsidR="0067697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67697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ЛМКП “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Львівтеплоенерго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”,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Д.</w:t>
            </w:r>
            <w:r w:rsidR="00CA27F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Апостола, 1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ТЕЦ-1, 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Козельницька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5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488, С-43, П-164А</w:t>
            </w:r>
          </w:p>
        </w:tc>
        <w:tc>
          <w:tcPr>
            <w:tcW w:w="4195" w:type="dxa"/>
          </w:tcPr>
          <w:p w:rsidR="00FA7940" w:rsidRPr="00E43FDA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Державне підприємство “Міжнародний аеропорт “Львів”</w:t>
            </w:r>
          </w:p>
          <w:p w:rsidR="00856655" w:rsidRPr="00E43FDA" w:rsidRDefault="00CA27F8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імені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Данила Галицького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”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аеропорт ЦА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Любінська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168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489, С-43, П-164А</w:t>
            </w:r>
          </w:p>
        </w:tc>
        <w:tc>
          <w:tcPr>
            <w:tcW w:w="4195" w:type="dxa"/>
          </w:tcPr>
          <w:p w:rsidR="00856655" w:rsidRPr="00E43FDA" w:rsidRDefault="00522A3A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ЛНД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 “Львівська політехніка”,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С.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Бандери, 12 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С.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Бандери, 12 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491, С-40, П-164А</w:t>
            </w:r>
          </w:p>
        </w:tc>
        <w:tc>
          <w:tcPr>
            <w:tcW w:w="419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ЛКП “Залізнич</w:t>
            </w:r>
            <w:r w:rsidR="004905D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теплоенер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го”, 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Петлюри, 4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</w:t>
            </w:r>
          </w:p>
        </w:tc>
        <w:tc>
          <w:tcPr>
            <w:tcW w:w="2665" w:type="dxa"/>
          </w:tcPr>
          <w:p w:rsidR="00856655" w:rsidRPr="00E43FDA" w:rsidRDefault="004905DB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 Львів, вул. 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Петлюри, 4а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493, трофейна,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П-164А</w:t>
            </w:r>
          </w:p>
        </w:tc>
        <w:tc>
          <w:tcPr>
            <w:tcW w:w="4195" w:type="dxa"/>
          </w:tcPr>
          <w:p w:rsidR="00FA7940" w:rsidRPr="00E43FDA" w:rsidRDefault="00AF34F2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НДІ епідеміології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та гігієни ЛНМУ</w:t>
            </w:r>
          </w:p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ім. Д.</w:t>
            </w:r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Галицького,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м. Львів, вул. Зелена, 12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Зелена, 12,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502, С-40, П-164Б</w:t>
            </w:r>
          </w:p>
        </w:tc>
        <w:tc>
          <w:tcPr>
            <w:tcW w:w="4195" w:type="dxa"/>
          </w:tcPr>
          <w:p w:rsidR="00FA7940" w:rsidRPr="00E43FDA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ВП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“Вокзал станції Льві</w:t>
            </w:r>
            <w:r w:rsidR="00B7320C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в” філії “Вокзальна компанія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”</w:t>
            </w:r>
            <w:r w:rsidR="002713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АТ “Укрзалізниця”</w:t>
            </w:r>
          </w:p>
          <w:p w:rsidR="00856655" w:rsidRPr="00E43FDA" w:rsidRDefault="002D5597" w:rsidP="00B7320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Двірцева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1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Двірцева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1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503, трофейна</w:t>
            </w:r>
            <w:r w:rsidR="0067697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АМ</w:t>
            </w:r>
          </w:p>
        </w:tc>
        <w:tc>
          <w:tcPr>
            <w:tcW w:w="4195" w:type="dxa"/>
          </w:tcPr>
          <w:p w:rsidR="00FA7940" w:rsidRPr="00E43FDA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ВП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“Львівськ</w:t>
            </w:r>
            <w:r w:rsidR="00AC5D75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дистанція електропостачання” Р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егіонал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ьної філії “Львівська залізниця”</w:t>
            </w:r>
            <w:r w:rsidR="002713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АТ “Укрзалізниця”</w:t>
            </w:r>
          </w:p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Курмановича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1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Таллінська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1 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</w:t>
            </w:r>
          </w:p>
        </w:tc>
        <w:tc>
          <w:tcPr>
            <w:tcW w:w="2098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504, С-40, А-17</w:t>
            </w:r>
          </w:p>
        </w:tc>
        <w:tc>
          <w:tcPr>
            <w:tcW w:w="4195" w:type="dxa"/>
          </w:tcPr>
          <w:p w:rsidR="00856655" w:rsidRPr="00E43FDA" w:rsidRDefault="00FA7940" w:rsidP="002713F2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ВП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“Пасажирське вагонн</w:t>
            </w:r>
            <w:r w:rsidR="002713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 депо Львів” філії “Пасажирська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компанія”</w:t>
            </w:r>
            <w:r w:rsidR="002713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АТ “Укрзалізниця”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 м. Львів, вул. </w:t>
            </w:r>
            <w:proofErr w:type="spellStart"/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Рудненська</w:t>
            </w:r>
            <w:proofErr w:type="spellEnd"/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32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Рудненська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32</w:t>
            </w:r>
          </w:p>
        </w:tc>
      </w:tr>
      <w:tr w:rsidR="00E43FDA" w:rsidRPr="00E43FDA">
        <w:tc>
          <w:tcPr>
            <w:tcW w:w="800" w:type="dxa"/>
          </w:tcPr>
          <w:p w:rsidR="00856655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</w:t>
            </w:r>
          </w:p>
        </w:tc>
        <w:tc>
          <w:tcPr>
            <w:tcW w:w="2098" w:type="dxa"/>
          </w:tcPr>
          <w:p w:rsidR="00856655" w:rsidRPr="00E43FDA" w:rsidRDefault="00B7320C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013679, С-40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А-11</w:t>
            </w:r>
          </w:p>
        </w:tc>
        <w:tc>
          <w:tcPr>
            <w:tcW w:w="4195" w:type="dxa"/>
          </w:tcPr>
          <w:p w:rsidR="00FA7940" w:rsidRPr="00E43FDA" w:rsidRDefault="00FA79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ВП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</w:t>
            </w:r>
            <w:r w:rsidR="00014F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Ремонтне вагонне депо Дрогобич</w:t>
            </w:r>
            <w:r w:rsidR="00B7320C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”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</w:t>
            </w:r>
            <w:r w:rsidR="002D5597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егіональної філії</w:t>
            </w:r>
            <w:r w:rsidR="00B7320C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“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Львівська залізниця”</w:t>
            </w:r>
            <w:r w:rsidR="002713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АТ “Укрзалізниця” </w:t>
            </w:r>
          </w:p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Левандівська</w:t>
            </w:r>
            <w:proofErr w:type="spellEnd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14-1</w:t>
            </w:r>
          </w:p>
        </w:tc>
        <w:tc>
          <w:tcPr>
            <w:tcW w:w="2665" w:type="dxa"/>
          </w:tcPr>
          <w:p w:rsidR="00856655" w:rsidRPr="00E43FDA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proofErr w:type="spellStart"/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Левандівська</w:t>
            </w:r>
            <w:proofErr w:type="spellEnd"/>
            <w:r w:rsidR="00FA7940"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14-1</w:t>
            </w:r>
          </w:p>
        </w:tc>
      </w:tr>
      <w:tr w:rsidR="0002702D" w:rsidRPr="0002702D">
        <w:tc>
          <w:tcPr>
            <w:tcW w:w="800" w:type="dxa"/>
          </w:tcPr>
          <w:p w:rsidR="00856655" w:rsidRPr="0002702D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</w:t>
            </w:r>
          </w:p>
        </w:tc>
        <w:tc>
          <w:tcPr>
            <w:tcW w:w="2098" w:type="dxa"/>
          </w:tcPr>
          <w:p w:rsidR="00B17F75" w:rsidRPr="0002702D" w:rsidRDefault="00B17F75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497, С-40 , </w:t>
            </w:r>
          </w:p>
          <w:p w:rsidR="00856655" w:rsidRPr="0002702D" w:rsidRDefault="00B17F75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П-164А</w:t>
            </w:r>
          </w:p>
        </w:tc>
        <w:tc>
          <w:tcPr>
            <w:tcW w:w="4195" w:type="dxa"/>
          </w:tcPr>
          <w:p w:rsidR="00856655" w:rsidRPr="0002702D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Підприємство об'єднання громадян “Львівське уч</w:t>
            </w:r>
            <w:r w:rsidR="00A060FD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бово-виробниче підприємство </w:t>
            </w:r>
            <w:r w:rsidR="0002702D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УТОС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” 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м. Львів, вул. </w:t>
            </w:r>
            <w:r w:rsidR="001436DB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Торф’яна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4</w:t>
            </w:r>
          </w:p>
        </w:tc>
        <w:tc>
          <w:tcPr>
            <w:tcW w:w="2665" w:type="dxa"/>
          </w:tcPr>
          <w:p w:rsidR="00856655" w:rsidRPr="0002702D" w:rsidRDefault="002D5597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 xml:space="preserve">вул. </w:t>
            </w:r>
            <w:r w:rsidR="00B17F75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Торф’яна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4</w:t>
            </w:r>
          </w:p>
        </w:tc>
      </w:tr>
      <w:tr w:rsidR="00E43FDA" w:rsidRPr="00E43FDA">
        <w:tc>
          <w:tcPr>
            <w:tcW w:w="800" w:type="dxa"/>
          </w:tcPr>
          <w:p w:rsidR="00F15D40" w:rsidRPr="00E43FDA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</w:t>
            </w:r>
          </w:p>
        </w:tc>
        <w:tc>
          <w:tcPr>
            <w:tcW w:w="2098" w:type="dxa"/>
          </w:tcPr>
          <w:p w:rsidR="00676970" w:rsidRDefault="00A11A26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485, </w:t>
            </w:r>
            <w:r w:rsidR="0067697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С-40 ,</w:t>
            </w:r>
          </w:p>
          <w:p w:rsidR="00F15D40" w:rsidRPr="00E43FDA" w:rsidRDefault="00B17F75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П-164А</w:t>
            </w:r>
          </w:p>
        </w:tc>
        <w:tc>
          <w:tcPr>
            <w:tcW w:w="4195" w:type="dxa"/>
          </w:tcPr>
          <w:p w:rsidR="00F15D40" w:rsidRPr="00E43FDA" w:rsidRDefault="00F15D40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Житловий будинок ЛКП “Хуторівка”</w:t>
            </w:r>
          </w:p>
          <w:p w:rsidR="00F15D40" w:rsidRPr="00E43FDA" w:rsidRDefault="00F15D40" w:rsidP="00F15D4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 Львів, вул. Хуторівка,</w:t>
            </w:r>
            <w:r w:rsidR="006E2D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</w:t>
            </w:r>
          </w:p>
        </w:tc>
        <w:tc>
          <w:tcPr>
            <w:tcW w:w="2665" w:type="dxa"/>
          </w:tcPr>
          <w:p w:rsidR="00F15D40" w:rsidRPr="00E43FDA" w:rsidRDefault="00F15D40" w:rsidP="00F15D4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м. Львів,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вул. Хуторівка,</w:t>
            </w:r>
            <w:r w:rsidR="006E2D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E43F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</w:t>
            </w:r>
          </w:p>
        </w:tc>
      </w:tr>
      <w:tr w:rsidR="0002702D" w:rsidRPr="0002702D">
        <w:tc>
          <w:tcPr>
            <w:tcW w:w="800" w:type="dxa"/>
          </w:tcPr>
          <w:p w:rsidR="004E339C" w:rsidRPr="0002702D" w:rsidRDefault="004E339C" w:rsidP="00D155C2">
            <w:pPr>
              <w:widowControl/>
              <w:tabs>
                <w:tab w:val="left" w:pos="4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</w:p>
        </w:tc>
        <w:tc>
          <w:tcPr>
            <w:tcW w:w="2098" w:type="dxa"/>
          </w:tcPr>
          <w:p w:rsidR="00B17F75" w:rsidRPr="0002702D" w:rsidRDefault="00B17F75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499,</w:t>
            </w:r>
          </w:p>
          <w:p w:rsidR="004E339C" w:rsidRPr="0002702D" w:rsidRDefault="00224F9E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С-28</w:t>
            </w:r>
            <w:r w:rsidR="00B17F75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П-164А</w:t>
            </w:r>
          </w:p>
          <w:p w:rsidR="00B17F75" w:rsidRPr="0002702D" w:rsidRDefault="00B17F75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95" w:type="dxa"/>
          </w:tcPr>
          <w:p w:rsidR="004E339C" w:rsidRPr="0002702D" w:rsidRDefault="001436DB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Немирівська </w:t>
            </w:r>
            <w:r w:rsidR="006E2DD3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селищна </w:t>
            </w: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рада, </w:t>
            </w:r>
          </w:p>
          <w:p w:rsidR="001436DB" w:rsidRPr="0002702D" w:rsidRDefault="006E2DD3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смт </w:t>
            </w:r>
            <w:r w:rsidR="001436DB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Немирів, </w:t>
            </w:r>
            <w:proofErr w:type="spellStart"/>
            <w:r w:rsidR="001436DB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</w:t>
            </w:r>
            <w:proofErr w:type="spellEnd"/>
            <w:r w:rsidR="001436DB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 Ринок,1</w:t>
            </w:r>
          </w:p>
          <w:p w:rsidR="00E43FDA" w:rsidRPr="0002702D" w:rsidRDefault="00E43FDA" w:rsidP="00721625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Яворівського району</w:t>
            </w:r>
          </w:p>
        </w:tc>
        <w:tc>
          <w:tcPr>
            <w:tcW w:w="2665" w:type="dxa"/>
          </w:tcPr>
          <w:p w:rsidR="00224F9E" w:rsidRPr="0002702D" w:rsidRDefault="00224F9E" w:rsidP="00F15D4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Яворівський район, </w:t>
            </w:r>
          </w:p>
          <w:p w:rsidR="004E339C" w:rsidRPr="0002702D" w:rsidRDefault="006E2DD3" w:rsidP="00E43FDA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смт </w:t>
            </w:r>
            <w:r w:rsidR="00224F9E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Немирів</w:t>
            </w:r>
            <w:r w:rsidR="007A423C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proofErr w:type="spellStart"/>
            <w:r w:rsidR="007A423C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</w:t>
            </w:r>
            <w:proofErr w:type="spellEnd"/>
            <w:r w:rsidR="007A423C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 </w:t>
            </w:r>
            <w:r w:rsidR="00E43FDA" w:rsidRPr="000270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Ринок,1</w:t>
            </w:r>
          </w:p>
        </w:tc>
      </w:tr>
    </w:tbl>
    <w:p w:rsidR="00AC5D75" w:rsidRDefault="00AC5D75" w:rsidP="00AC5D75">
      <w:pPr>
        <w:widowControl/>
        <w:pBdr>
          <w:bottom w:val="single" w:sz="12" w:space="1" w:color="auto"/>
        </w:pBd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219B2" w:rsidRDefault="003219B2" w:rsidP="002713F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219B2" w:rsidRDefault="003219B2" w:rsidP="002713F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219B2" w:rsidRDefault="003219B2" w:rsidP="002713F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219B2" w:rsidRDefault="003219B2" w:rsidP="002713F2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19B2" w:rsidRP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219B2">
        <w:rPr>
          <w:rFonts w:ascii="Times New Roman" w:hAnsi="Times New Roman" w:cs="Times New Roman"/>
          <w:b/>
          <w:bCs/>
          <w:iCs/>
          <w:sz w:val="28"/>
          <w:szCs w:val="28"/>
        </w:rPr>
        <w:t>Виконавець:</w:t>
      </w:r>
    </w:p>
    <w:p w:rsidR="003219B2" w:rsidRP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9B2">
        <w:rPr>
          <w:rFonts w:ascii="Times New Roman" w:hAnsi="Times New Roman" w:cs="Times New Roman"/>
          <w:sz w:val="28"/>
          <w:szCs w:val="28"/>
        </w:rPr>
        <w:t>Начальник відділу оперативно-чергової служби</w:t>
      </w:r>
    </w:p>
    <w:p w:rsidR="003219B2" w:rsidRP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9B2">
        <w:rPr>
          <w:rFonts w:ascii="Times New Roman" w:hAnsi="Times New Roman" w:cs="Times New Roman"/>
          <w:sz w:val="28"/>
          <w:szCs w:val="28"/>
        </w:rPr>
        <w:t xml:space="preserve">управління оперативно-чергової служби оповіщення </w:t>
      </w:r>
    </w:p>
    <w:p w:rsidR="003219B2" w:rsidRP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9B2">
        <w:rPr>
          <w:rFonts w:ascii="Times New Roman" w:hAnsi="Times New Roman" w:cs="Times New Roman"/>
          <w:sz w:val="28"/>
          <w:szCs w:val="28"/>
        </w:rPr>
        <w:t>та зв’язку департаменту з питань цивільного захисту</w:t>
      </w:r>
    </w:p>
    <w:p w:rsidR="003219B2" w:rsidRPr="003219B2" w:rsidRDefault="003219B2" w:rsidP="003219B2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right="-57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9B2">
        <w:rPr>
          <w:rFonts w:ascii="Times New Roman" w:hAnsi="Times New Roman" w:cs="Times New Roman"/>
          <w:sz w:val="28"/>
          <w:szCs w:val="28"/>
        </w:rPr>
        <w:t>обласної державної адміністрації                                                  В.О. Бунь</w:t>
      </w:r>
    </w:p>
    <w:p w:rsidR="003219B2" w:rsidRPr="003219B2" w:rsidRDefault="003219B2" w:rsidP="003219B2">
      <w:pPr>
        <w:widowControl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3219B2" w:rsidRPr="003219B2" w:rsidSect="002713F2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254" w:rsidRDefault="00AE2254">
      <w:pPr>
        <w:spacing w:after="0" w:line="240" w:lineRule="auto"/>
      </w:pPr>
      <w:r>
        <w:separator/>
      </w:r>
    </w:p>
  </w:endnote>
  <w:endnote w:type="continuationSeparator" w:id="0">
    <w:p w:rsidR="00AE2254" w:rsidRDefault="00AE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254" w:rsidRDefault="00AE2254">
      <w:pPr>
        <w:spacing w:after="0" w:line="240" w:lineRule="auto"/>
      </w:pPr>
      <w:r>
        <w:separator/>
      </w:r>
    </w:p>
  </w:footnote>
  <w:footnote w:type="continuationSeparator" w:id="0">
    <w:p w:rsidR="00AE2254" w:rsidRDefault="00AE2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655" w:rsidRDefault="002D5597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F6" w:rsidRPr="00A706F6" w:rsidRDefault="00A706F6">
    <w:pPr>
      <w:pStyle w:val="a7"/>
      <w:rPr>
        <w:rFonts w:ascii="Times New Roman" w:hAnsi="Times New Roman" w:cs="Times New Roman"/>
      </w:rPr>
    </w:pPr>
    <w:r>
      <w:tab/>
    </w:r>
    <w:r w:rsidRPr="00A706F6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FFADF8C"/>
    <w:multiLevelType w:val="singleLevel"/>
    <w:tmpl w:val="DFFADF8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3D"/>
    <w:rsid w:val="00002AA6"/>
    <w:rsid w:val="000056A2"/>
    <w:rsid w:val="00014F0F"/>
    <w:rsid w:val="0002702D"/>
    <w:rsid w:val="0006703D"/>
    <w:rsid w:val="000A4C14"/>
    <w:rsid w:val="000D7EC6"/>
    <w:rsid w:val="000E4A12"/>
    <w:rsid w:val="001006CB"/>
    <w:rsid w:val="00104130"/>
    <w:rsid w:val="00112951"/>
    <w:rsid w:val="001173D6"/>
    <w:rsid w:val="00120DE6"/>
    <w:rsid w:val="00126C92"/>
    <w:rsid w:val="00132978"/>
    <w:rsid w:val="0014301D"/>
    <w:rsid w:val="001436DB"/>
    <w:rsid w:val="00147320"/>
    <w:rsid w:val="00156185"/>
    <w:rsid w:val="00157B33"/>
    <w:rsid w:val="00185057"/>
    <w:rsid w:val="001D584F"/>
    <w:rsid w:val="001F1EB6"/>
    <w:rsid w:val="002072CF"/>
    <w:rsid w:val="002123F4"/>
    <w:rsid w:val="00224F9E"/>
    <w:rsid w:val="002439E5"/>
    <w:rsid w:val="00261CA7"/>
    <w:rsid w:val="002713F2"/>
    <w:rsid w:val="00271432"/>
    <w:rsid w:val="00286541"/>
    <w:rsid w:val="0029133A"/>
    <w:rsid w:val="002914A6"/>
    <w:rsid w:val="00293C71"/>
    <w:rsid w:val="002B14E5"/>
    <w:rsid w:val="002D5597"/>
    <w:rsid w:val="002D615C"/>
    <w:rsid w:val="003219B2"/>
    <w:rsid w:val="00322182"/>
    <w:rsid w:val="00362D11"/>
    <w:rsid w:val="003664BC"/>
    <w:rsid w:val="0038518F"/>
    <w:rsid w:val="00396068"/>
    <w:rsid w:val="003A5707"/>
    <w:rsid w:val="00422263"/>
    <w:rsid w:val="004327D1"/>
    <w:rsid w:val="004905DB"/>
    <w:rsid w:val="004E339C"/>
    <w:rsid w:val="00502394"/>
    <w:rsid w:val="00522A3A"/>
    <w:rsid w:val="005337EA"/>
    <w:rsid w:val="0054468F"/>
    <w:rsid w:val="0056103C"/>
    <w:rsid w:val="0056363E"/>
    <w:rsid w:val="005C3BF3"/>
    <w:rsid w:val="005F5FC5"/>
    <w:rsid w:val="006302DF"/>
    <w:rsid w:val="0063666E"/>
    <w:rsid w:val="0064258C"/>
    <w:rsid w:val="0066508E"/>
    <w:rsid w:val="00676970"/>
    <w:rsid w:val="00677481"/>
    <w:rsid w:val="00692283"/>
    <w:rsid w:val="0069407C"/>
    <w:rsid w:val="006C4E1E"/>
    <w:rsid w:val="006C7C4D"/>
    <w:rsid w:val="006D6213"/>
    <w:rsid w:val="006E2DD3"/>
    <w:rsid w:val="00705CC4"/>
    <w:rsid w:val="0071207B"/>
    <w:rsid w:val="00714DCC"/>
    <w:rsid w:val="007211D4"/>
    <w:rsid w:val="00721625"/>
    <w:rsid w:val="00741DB2"/>
    <w:rsid w:val="00742409"/>
    <w:rsid w:val="007A423C"/>
    <w:rsid w:val="007B4C60"/>
    <w:rsid w:val="007E06B4"/>
    <w:rsid w:val="00812119"/>
    <w:rsid w:val="00842D3E"/>
    <w:rsid w:val="00856655"/>
    <w:rsid w:val="00871EE5"/>
    <w:rsid w:val="008E158B"/>
    <w:rsid w:val="008F710B"/>
    <w:rsid w:val="00901EFE"/>
    <w:rsid w:val="00906486"/>
    <w:rsid w:val="00946C3E"/>
    <w:rsid w:val="0095004A"/>
    <w:rsid w:val="009503FD"/>
    <w:rsid w:val="00955044"/>
    <w:rsid w:val="0098495A"/>
    <w:rsid w:val="009D2E7E"/>
    <w:rsid w:val="00A060FD"/>
    <w:rsid w:val="00A11A26"/>
    <w:rsid w:val="00A15617"/>
    <w:rsid w:val="00A4391E"/>
    <w:rsid w:val="00A452DA"/>
    <w:rsid w:val="00A706F6"/>
    <w:rsid w:val="00A868DE"/>
    <w:rsid w:val="00AB2844"/>
    <w:rsid w:val="00AC5D75"/>
    <w:rsid w:val="00AE2254"/>
    <w:rsid w:val="00AF34F2"/>
    <w:rsid w:val="00B17F75"/>
    <w:rsid w:val="00B2693B"/>
    <w:rsid w:val="00B45344"/>
    <w:rsid w:val="00B7320C"/>
    <w:rsid w:val="00B8212F"/>
    <w:rsid w:val="00B97610"/>
    <w:rsid w:val="00BE1E17"/>
    <w:rsid w:val="00BE2335"/>
    <w:rsid w:val="00C33084"/>
    <w:rsid w:val="00C462C6"/>
    <w:rsid w:val="00C64E29"/>
    <w:rsid w:val="00C97578"/>
    <w:rsid w:val="00CA0F7B"/>
    <w:rsid w:val="00CA27F8"/>
    <w:rsid w:val="00CA30B5"/>
    <w:rsid w:val="00CB70B7"/>
    <w:rsid w:val="00CC39AD"/>
    <w:rsid w:val="00CD0DF3"/>
    <w:rsid w:val="00D155C2"/>
    <w:rsid w:val="00D172EC"/>
    <w:rsid w:val="00D31190"/>
    <w:rsid w:val="00D61503"/>
    <w:rsid w:val="00D7297E"/>
    <w:rsid w:val="00D80770"/>
    <w:rsid w:val="00D84439"/>
    <w:rsid w:val="00DD26DD"/>
    <w:rsid w:val="00DD63A7"/>
    <w:rsid w:val="00DE6820"/>
    <w:rsid w:val="00E16E5A"/>
    <w:rsid w:val="00E173A8"/>
    <w:rsid w:val="00E30FA1"/>
    <w:rsid w:val="00E43FDA"/>
    <w:rsid w:val="00E803DB"/>
    <w:rsid w:val="00E939F7"/>
    <w:rsid w:val="00EB0D3A"/>
    <w:rsid w:val="00EB54E7"/>
    <w:rsid w:val="00F15D40"/>
    <w:rsid w:val="00F2729F"/>
    <w:rsid w:val="00F46571"/>
    <w:rsid w:val="00F53CB5"/>
    <w:rsid w:val="00F75126"/>
    <w:rsid w:val="00F84C76"/>
    <w:rsid w:val="00FA7940"/>
    <w:rsid w:val="00FD70F8"/>
    <w:rsid w:val="00FD7175"/>
    <w:rsid w:val="00FE4B21"/>
    <w:rsid w:val="7E615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F1A556-0B3C-4C59-9271-1ADA2FFA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4C7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C7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84C76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84C7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F84C76"/>
    <w:pPr>
      <w:tabs>
        <w:tab w:val="center" w:pos="4819"/>
        <w:tab w:val="right" w:pos="9639"/>
      </w:tabs>
    </w:pPr>
  </w:style>
  <w:style w:type="character" w:styleId="ab">
    <w:name w:val="footnote reference"/>
    <w:uiPriority w:val="99"/>
    <w:semiHidden/>
    <w:unhideWhenUsed/>
    <w:rsid w:val="00F84C76"/>
    <w:rPr>
      <w:vertAlign w:val="superscript"/>
    </w:rPr>
  </w:style>
  <w:style w:type="table" w:styleId="ac">
    <w:name w:val="Table Grid"/>
    <w:basedOn w:val="a1"/>
    <w:uiPriority w:val="59"/>
    <w:rsid w:val="00F8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ий текст (3)"/>
    <w:rsid w:val="00F84C76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d">
    <w:name w:val="Основний текст_"/>
    <w:qFormat/>
    <w:rsid w:val="00F84C76"/>
    <w:rPr>
      <w:rFonts w:ascii="Times New Roman" w:eastAsia="Times New Roman" w:hAnsi="Times New Roman" w:cs="Times New Roman"/>
      <w:spacing w:val="1"/>
      <w:u w:val="none"/>
    </w:rPr>
  </w:style>
  <w:style w:type="character" w:customStyle="1" w:styleId="1">
    <w:name w:val="Основний текст1"/>
    <w:rsid w:val="00F84C76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Текст выноски Знак"/>
    <w:link w:val="a3"/>
    <w:uiPriority w:val="99"/>
    <w:semiHidden/>
    <w:rsid w:val="00F84C76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character" w:customStyle="1" w:styleId="a8">
    <w:name w:val="Верхний колонтитул Знак"/>
    <w:link w:val="a7"/>
    <w:uiPriority w:val="99"/>
    <w:rsid w:val="00F84C76"/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customStyle="1" w:styleId="aa">
    <w:name w:val="Нижний колонтитул Знак"/>
    <w:link w:val="a9"/>
    <w:uiPriority w:val="99"/>
    <w:rsid w:val="00F84C76"/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customStyle="1" w:styleId="a6">
    <w:name w:val="Текст сноски Знак"/>
    <w:link w:val="a5"/>
    <w:uiPriority w:val="99"/>
    <w:semiHidden/>
    <w:qFormat/>
    <w:rsid w:val="00F84C76"/>
    <w:rPr>
      <w:rFonts w:ascii="Courier New" w:eastAsia="Courier New" w:hAnsi="Courier New" w:cs="Courier New"/>
      <w:color w:val="000000"/>
      <w:lang w:bidi="uk-UA"/>
    </w:rPr>
  </w:style>
  <w:style w:type="paragraph" w:styleId="ae">
    <w:name w:val="List Paragraph"/>
    <w:basedOn w:val="a"/>
    <w:uiPriority w:val="34"/>
    <w:qFormat/>
    <w:rsid w:val="00F84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74A389-9F02-4684-9D3E-3B975E0A3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WZ</dc:creator>
  <cp:lastModifiedBy>DCZLODA</cp:lastModifiedBy>
  <cp:revision>11</cp:revision>
  <cp:lastPrinted>2020-12-21T10:02:00Z</cp:lastPrinted>
  <dcterms:created xsi:type="dcterms:W3CDTF">2020-12-18T09:14:00Z</dcterms:created>
  <dcterms:modified xsi:type="dcterms:W3CDTF">2020-12-21T10:05:00Z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