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CC8" w:rsidRDefault="002B5CC8" w:rsidP="002B5CC8">
      <w:pPr>
        <w:pStyle w:val="Standard"/>
        <w:spacing w:after="0"/>
        <w:ind w:right="-574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35103A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38820" cy="638251"/>
            <wp:effectExtent l="0" t="0" r="0" b="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820" cy="63825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</w:t>
      </w:r>
      <w:r w:rsidR="00AA1D8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1031</w:t>
      </w:r>
    </w:p>
    <w:p w:rsidR="002B5CC8" w:rsidRDefault="00612895" w:rsidP="00612895">
      <w:pPr>
        <w:pStyle w:val="Standard"/>
        <w:autoSpaceDE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УКРАЇНА                                                                                                                         </w:t>
      </w:r>
      <w:r w:rsidR="002B5CC8">
        <w:rPr>
          <w:rFonts w:ascii="Times New Roman" w:eastAsia="Calibri" w:hAnsi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  <w:lang w:val="uk-UA" w:eastAsia="en-US"/>
        </w:rPr>
        <w:t xml:space="preserve">                                                                </w:t>
      </w:r>
      <w:r w:rsidR="002B5CC8">
        <w:rPr>
          <w:rFonts w:ascii="Times New Roman" w:eastAsia="Calibri" w:hAnsi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2B5CC8" w:rsidRDefault="00AA1D88" w:rsidP="002B5CC8">
      <w:pPr>
        <w:pStyle w:val="Standard"/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pict>
          <v:shape id="Прямая соединительная линия 2" o:spid="_x0000_s1026" style="position:absolute;margin-left:4.05pt;margin-top:8.65pt;width:468pt;height:0;z-index:251658240;visibility:visible" coordsize="5943600,0" o:spt="100" adj="-11796480,,5400" path="m,l5943600,1e" filled="f" strokeweight="1.59003mm">
            <v:stroke joinstyle="miter"/>
            <v:formulas/>
            <v:path o:connecttype="custom" o:connectlocs="2971800,0;5943600,0;2971800,0;0,0;0,0;5943600,1" o:connectangles="270,0,90,180,90,270" textboxrect="0,0,5943600,0"/>
            <v:textbox style="mso-next-textbox:#Прямая соединительная линия 2;mso-rotate-with-shape:t" inset="4.40942mm,2.29106mm,4.40942mm,2.29106mm">
              <w:txbxContent>
                <w:p w:rsidR="002B5CC8" w:rsidRDefault="002B5CC8" w:rsidP="002B5CC8"/>
              </w:txbxContent>
            </v:textbox>
          </v:shape>
        </w:pict>
      </w:r>
    </w:p>
    <w:p w:rsidR="002B5CC8" w:rsidRDefault="002B5CC8" w:rsidP="002B5CC8">
      <w:pPr>
        <w:pStyle w:val="Standard"/>
        <w:spacing w:after="0"/>
        <w:ind w:right="-574"/>
        <w:rPr>
          <w:rFonts w:ascii="Times New Roman" w:eastAsia="Calibri" w:hAnsi="Times New Roman" w:cs="Times New Roman"/>
          <w:color w:val="0D0D0D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D0D0D"/>
          <w:sz w:val="28"/>
          <w:szCs w:val="28"/>
          <w:lang w:val="uk-UA" w:eastAsia="en-US"/>
        </w:rPr>
        <w:t xml:space="preserve">                                                   ПРОЄКТ РІШЕННЯ №</w:t>
      </w:r>
    </w:p>
    <w:p w:rsidR="002B5CC8" w:rsidRPr="000213C6" w:rsidRDefault="00AA1D88" w:rsidP="002B5CC8">
      <w:pPr>
        <w:pStyle w:val="Standard"/>
        <w:spacing w:after="0"/>
        <w:rPr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жовтня</w:t>
      </w:r>
      <w:r w:rsidR="002B5CC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2023  року</w:t>
      </w:r>
      <w:r w:rsidR="002B5CC8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                                           </w:t>
      </w:r>
      <w:r w:rsidR="002B5CC8">
        <w:rPr>
          <w:rFonts w:ascii="Times New Roman" w:hAnsi="Times New Roman" w:cs="Times New Roman"/>
          <w:sz w:val="26"/>
          <w:szCs w:val="26"/>
          <w:u w:val="single"/>
          <w:lang w:val="uk-UA"/>
        </w:rPr>
        <w:t>29  сесія  8  скликання</w:t>
      </w:r>
    </w:p>
    <w:p w:rsidR="002B5CC8" w:rsidRDefault="002B5CC8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2B5CC8" w:rsidRDefault="002B5CC8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  надання дозволу на укладення договорів</w:t>
      </w:r>
    </w:p>
    <w:p w:rsidR="002B5CC8" w:rsidRDefault="002B5CC8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встановлення земельних сервітутів на земельні</w:t>
      </w:r>
    </w:p>
    <w:p w:rsidR="002B5CC8" w:rsidRDefault="002B5CC8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ділянки комунальної власності для розміщення</w:t>
      </w:r>
    </w:p>
    <w:p w:rsidR="002B5CC8" w:rsidRDefault="002B5CC8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тимчасових споруд торгівельного призначення,</w:t>
      </w:r>
    </w:p>
    <w:p w:rsidR="002B5CC8" w:rsidRDefault="002B5CC8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для здійснення підприємницької  діяльності</w:t>
      </w:r>
    </w:p>
    <w:p w:rsidR="0035103A" w:rsidRDefault="0035103A" w:rsidP="002B5CC8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2B5CC8" w:rsidRPr="000213C6" w:rsidRDefault="002B5CC8" w:rsidP="002B5CC8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Відповідно   ст. 26, 33 Закону  України "Про місцеве самоврядування   в Україні"  розглянувши  заяви приватних підприємців - громадян, з проханням про укладення договорів на користування земельними ділянками по вул. Соборній біля 9-ти поверхового будинку № 66,  по  в</w:t>
      </w:r>
      <w:r w:rsidR="0035103A">
        <w:rPr>
          <w:rFonts w:ascii="Times New Roman" w:hAnsi="Times New Roman" w:cs="Times New Roman"/>
          <w:color w:val="000000"/>
          <w:sz w:val="26"/>
          <w:szCs w:val="26"/>
          <w:lang w:val="uk-UA"/>
        </w:rPr>
        <w:t>ул. Соборна - Європейська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на  яких  розміщенні тимчасові споруди торгівельного призначення для здійснення підприємницької діяльності,   керуючись ст.ст. 12, 122, Глава 16 Право земельного сервітуту Земельного Кодексу України, Наказом Міністерства регіонального розвитку,  будівництва та житлово-комунального господарства України» № 244 від 21.10.2011 року «Про затвердження Порядку розміщення тимчасових споруд для провадження підприємницької діяльності»,   міська рада ВИРІШИЛА:                                                                                                        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1. Надати дозвіл на укладення строкових договорів встановлення земельних сервітутів на платне  користування земельними ділянками комунальної власності, на яких знаходяться  об'єкти благоустрою, комунальні дороги, вулиця Соборна, вулиця Подільська села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Грижинці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для розміщення тимчасових споруд торгівельного призначення наступним громадянам:                                        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2693"/>
        <w:gridCol w:w="2268"/>
        <w:gridCol w:w="992"/>
        <w:gridCol w:w="2410"/>
        <w:gridCol w:w="992"/>
      </w:tblGrid>
      <w:tr w:rsidR="002B5CC8" w:rsidTr="0035103A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Прізвище, ім'я, по батькові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Юридична адреса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сервітуарія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Площа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ділянки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Місце розташування земельної ділянки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2B5CC8" w:rsidRPr="002B5CC8" w:rsidTr="0035103A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Pr="0035103A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Шестоперов</w:t>
            </w:r>
            <w:proofErr w:type="spellEnd"/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 </w:t>
            </w:r>
          </w:p>
          <w:p w:rsidR="002B5CC8" w:rsidRPr="0035103A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Анатолій Михайлович                                          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Pr="0035103A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м.Гнівань</w:t>
            </w:r>
            <w:proofErr w:type="spellEnd"/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вул.Соборна,65/5</w:t>
            </w:r>
          </w:p>
          <w:p w:rsidR="002B5CC8" w:rsidRPr="0035103A" w:rsidRDefault="002B5CC8" w:rsidP="0035103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Pr="0035103A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Pr="0035103A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по вул. Соборна-Європейська (ринок)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2B5CC8" w:rsidRPr="00612895" w:rsidTr="0035103A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35103A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Приватне сільськогосподарське підприємство «Довіра»</w:t>
            </w:r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</w:t>
            </w:r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 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35103A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с.Довгополівка</w:t>
            </w:r>
            <w:proofErr w:type="spellEnd"/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вул.Зарічна</w:t>
            </w:r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б.14</w:t>
            </w:r>
          </w:p>
          <w:p w:rsidR="0035103A" w:rsidRDefault="00612895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Вінницької обл..</w:t>
            </w:r>
            <w:r w:rsidR="0035103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Вінницького 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-ну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35103A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35103A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На розі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-Європейська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35103A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Сілко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Ж.О.</w:t>
            </w:r>
          </w:p>
        </w:tc>
      </w:tr>
      <w:tr w:rsidR="002B5CC8" w:rsidRPr="00B5118F" w:rsidTr="0035103A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Плисак</w:t>
            </w:r>
            <w:proofErr w:type="spellEnd"/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Жанетта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Едуардівна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м.Гнівань</w:t>
            </w:r>
            <w:proofErr w:type="spellEnd"/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б.64</w:t>
            </w:r>
          </w:p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кв.3</w:t>
            </w:r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7</w:t>
            </w:r>
            <w:r w:rsidR="00595CA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по </w:t>
            </w:r>
            <w:proofErr w:type="spellStart"/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–</w:t>
            </w:r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Європейська</w:t>
            </w:r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(ринок)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2B5CC8" w:rsidRPr="00B5118F" w:rsidTr="0035103A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Овеченко</w:t>
            </w:r>
            <w:proofErr w:type="spellEnd"/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Людмила</w:t>
            </w:r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Леонідівна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м.Гнівань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б.</w:t>
            </w:r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8</w:t>
            </w:r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кв.17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</w:t>
            </w:r>
            <w:r w:rsidR="00595CA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по </w:t>
            </w:r>
            <w:proofErr w:type="spellStart"/>
            <w:r w:rsidR="002B5CC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-      </w:t>
            </w:r>
          </w:p>
          <w:p w:rsidR="00B5118F" w:rsidRDefault="00B5118F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Європейська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CC8" w:rsidRDefault="002B5CC8" w:rsidP="00004AA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8B5845" w:rsidTr="00347022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Дерлюк</w:t>
            </w:r>
            <w:proofErr w:type="spellEnd"/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Валентина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с.Селище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вул.Замкова,99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8</w:t>
            </w:r>
            <w:r w:rsidR="00595CA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-      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Європейська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(ринок)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8B5845" w:rsidTr="00116CD2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2B5CC8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="008B584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Дацюк</w:t>
            </w:r>
            <w:proofErr w:type="spellEnd"/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Марія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Іванівна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м.Гнівань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вул.Соборна,б.66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кв.8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</w:t>
            </w:r>
            <w:r w:rsidR="00595CA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-      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Європейська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(ринок)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8B5845" w:rsidTr="008B5845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595CA9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Скрипник</w:t>
            </w:r>
          </w:p>
          <w:p w:rsidR="00595CA9" w:rsidRDefault="00595CA9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Катерина</w:t>
            </w:r>
          </w:p>
          <w:p w:rsidR="00595CA9" w:rsidRDefault="00595CA9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Петрівна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595CA9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м.Гнівань</w:t>
            </w:r>
            <w:proofErr w:type="spellEnd"/>
            <w:r w:rsidR="008B584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вул.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Вапняра</w:t>
            </w:r>
            <w:r w:rsidR="008B584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б.4</w:t>
            </w:r>
          </w:p>
          <w:p w:rsidR="00595CA9" w:rsidRDefault="00595CA9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кв.5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260F01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13</w:t>
            </w:r>
            <w:r w:rsidR="00595CA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-      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Європейська</w:t>
            </w:r>
          </w:p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(ринок)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845" w:rsidRDefault="008B5845" w:rsidP="00116CD2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2. Доручити юридичному відділу Гніванської міської ради укласти договори строкового земельного сервітуту платного користування земельною ділянкою  з вищезазначеними громадянами терміном на один рік.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3. Встановити плату за користування земельними ділянками комунальної власності на умовах встановленого строкового платного земельного сервітуту у розмірі 12 % нормативно-грошової оцінки одиниці площі земельної ділянки, встановленої відповідно до технічної документації з нормативно-грошової оцінки міста Гнівань.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4. Зобов'язати громадян користувачів</w:t>
      </w:r>
      <w:r w:rsidR="00E6101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-</w:t>
      </w:r>
      <w:r w:rsidR="00E6101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сервітуаріїв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утримувати земельні ділянки в належному санітарному стані, привести у відповідний стан зовнішній вигляд тимчасової споруди за прикладом встановлених тимчасових  споруд з головного фасаду, що по вулиці Соборній.  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5. Попередити громадян про те, що в разі несплати плати за користування ділянкою, утримання її у незадовільному санітарному стані, невиконання вимог п.5 рішення, а також невиконання вимог Закону України «Про відходи»,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порядку.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6. Контроль за виконанням даного рішення покласти на відділ з земельних та житлово-комунальних питань.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7.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Берещук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М.В.)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Міський голова                                                                          Володимир КУЛЕШОВ</w:t>
      </w:r>
    </w:p>
    <w:p w:rsidR="002B5CC8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2B5CC8" w:rsidRPr="00FF4CA2" w:rsidRDefault="002B5CC8" w:rsidP="002B5CC8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F4C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Вик. </w:t>
      </w:r>
      <w:proofErr w:type="spellStart"/>
      <w:r w:rsidRPr="00FF4CA2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Ровінська</w:t>
      </w:r>
      <w:proofErr w:type="spellEnd"/>
      <w:r w:rsidRPr="00FF4C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В.Д.</w:t>
      </w:r>
    </w:p>
    <w:p w:rsidR="00CA1204" w:rsidRPr="002B5CC8" w:rsidRDefault="00CA1204">
      <w:pPr>
        <w:rPr>
          <w:lang w:val="uk-UA"/>
        </w:rPr>
      </w:pPr>
    </w:p>
    <w:sectPr w:rsidR="00CA1204" w:rsidRPr="002B5CC8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5CC8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0F01"/>
    <w:rsid w:val="00264AA0"/>
    <w:rsid w:val="00274AA3"/>
    <w:rsid w:val="0027718F"/>
    <w:rsid w:val="002773C1"/>
    <w:rsid w:val="00283955"/>
    <w:rsid w:val="002B07E1"/>
    <w:rsid w:val="002B5CC8"/>
    <w:rsid w:val="002C40A9"/>
    <w:rsid w:val="0030563D"/>
    <w:rsid w:val="00323D9F"/>
    <w:rsid w:val="00334CE4"/>
    <w:rsid w:val="00347022"/>
    <w:rsid w:val="0035103A"/>
    <w:rsid w:val="00363E33"/>
    <w:rsid w:val="00387492"/>
    <w:rsid w:val="0039383E"/>
    <w:rsid w:val="003E4608"/>
    <w:rsid w:val="00401883"/>
    <w:rsid w:val="00403C04"/>
    <w:rsid w:val="0041513A"/>
    <w:rsid w:val="00435908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95CA9"/>
    <w:rsid w:val="005A067E"/>
    <w:rsid w:val="005B1D5D"/>
    <w:rsid w:val="005E770E"/>
    <w:rsid w:val="005F1FE7"/>
    <w:rsid w:val="005F64BC"/>
    <w:rsid w:val="00612895"/>
    <w:rsid w:val="00616B19"/>
    <w:rsid w:val="006214D5"/>
    <w:rsid w:val="006576E5"/>
    <w:rsid w:val="00673860"/>
    <w:rsid w:val="00675B93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46880"/>
    <w:rsid w:val="008B5845"/>
    <w:rsid w:val="008B600B"/>
    <w:rsid w:val="008E0D27"/>
    <w:rsid w:val="00904943"/>
    <w:rsid w:val="00921DC4"/>
    <w:rsid w:val="00926FD8"/>
    <w:rsid w:val="009565C0"/>
    <w:rsid w:val="00966F51"/>
    <w:rsid w:val="009E4A55"/>
    <w:rsid w:val="009F28EF"/>
    <w:rsid w:val="00A1631C"/>
    <w:rsid w:val="00A622CC"/>
    <w:rsid w:val="00A92359"/>
    <w:rsid w:val="00AA1D88"/>
    <w:rsid w:val="00B351E0"/>
    <w:rsid w:val="00B35876"/>
    <w:rsid w:val="00B43FBB"/>
    <w:rsid w:val="00B50330"/>
    <w:rsid w:val="00B5118F"/>
    <w:rsid w:val="00B62355"/>
    <w:rsid w:val="00BC2C39"/>
    <w:rsid w:val="00BD3AB4"/>
    <w:rsid w:val="00BD6CA5"/>
    <w:rsid w:val="00BE1097"/>
    <w:rsid w:val="00BE62AB"/>
    <w:rsid w:val="00C10097"/>
    <w:rsid w:val="00C472F4"/>
    <w:rsid w:val="00C50EA3"/>
    <w:rsid w:val="00C80DC4"/>
    <w:rsid w:val="00C94E18"/>
    <w:rsid w:val="00CA1204"/>
    <w:rsid w:val="00CC13B8"/>
    <w:rsid w:val="00CD1ECF"/>
    <w:rsid w:val="00D3458A"/>
    <w:rsid w:val="00D57C79"/>
    <w:rsid w:val="00DE67EA"/>
    <w:rsid w:val="00DF68F2"/>
    <w:rsid w:val="00E26910"/>
    <w:rsid w:val="00E5515A"/>
    <w:rsid w:val="00E6101D"/>
    <w:rsid w:val="00E67A6B"/>
    <w:rsid w:val="00EA3C03"/>
    <w:rsid w:val="00EB01F4"/>
    <w:rsid w:val="00EB459E"/>
    <w:rsid w:val="00EB5632"/>
    <w:rsid w:val="00EF381B"/>
    <w:rsid w:val="00F40019"/>
    <w:rsid w:val="00F86474"/>
    <w:rsid w:val="00F93435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FBB877"/>
  <w15:docId w15:val="{71000CD1-3E22-47CE-87B1-5E1622A5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B5CC8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widowControl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widowControl/>
      <w:suppressAutoHyphens w:val="0"/>
      <w:autoSpaceDN/>
      <w:spacing w:before="240" w:after="60" w:line="240" w:lineRule="auto"/>
      <w:textAlignment w:val="auto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Standard">
    <w:name w:val="Standard"/>
    <w:rsid w:val="002B5CC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B5C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CC8"/>
    <w:rPr>
      <w:rFonts w:ascii="Tahoma" w:eastAsia="SimSun" w:hAnsi="Tahoma" w:cs="Tahoma"/>
      <w:kern w:val="3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04C3A79F-83AE-4273-A77A-527737FA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15</cp:revision>
  <dcterms:created xsi:type="dcterms:W3CDTF">2023-09-20T06:49:00Z</dcterms:created>
  <dcterms:modified xsi:type="dcterms:W3CDTF">2023-10-10T05:29:00Z</dcterms:modified>
</cp:coreProperties>
</file>