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2C35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8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№7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r>
              <w:rPr>
                <w:rFonts w:ascii="Arial" w:eastAsia="Arial" w:hAnsi="Arial" w:cs="Arial"/>
                <w:sz w:val="14"/>
              </w:rPr>
              <w:t xml:space="preserve"> №       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      12.2021р.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r>
              <w:rPr>
                <w:rFonts w:ascii="Arial" w:eastAsia="Arial" w:hAnsi="Arial" w:cs="Arial"/>
                <w:sz w:val="14"/>
              </w:rPr>
              <w:t xml:space="preserve"> "Про бюджет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 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8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8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02533000000</w:t>
            </w: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8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8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1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4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8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11 275 485,00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11 071 135,00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204 350,00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11 275 485,00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11 071 135,00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204 350,00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107 500,00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107 500,00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107 500,00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88 150,00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88 150,00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0113123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політики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питань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сім'ї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48 500,00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48 500,00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Цільова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сімейної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гендерної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політики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попередження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домашнього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насильства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протидії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людьми на 2022-2025 роки </w:t>
            </w: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48 500,00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48 500,00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0113210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1050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робіт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39 650,00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суспільно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порушників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судом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накладено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адміністративне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стягнення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суспільно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2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39 650,00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253 450,00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253 450,00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253 450,00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253 450,00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вдосконалення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професійних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свят,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ювілейних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дат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пам"ятних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дат,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заохочення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заслуги перед  громадою,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прийому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відрядження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офіційних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</w:t>
            </w:r>
            <w:r>
              <w:rPr>
                <w:rFonts w:ascii="Arial" w:eastAsia="Arial" w:hAnsi="Arial" w:cs="Arial"/>
                <w:sz w:val="14"/>
              </w:rPr>
              <w:t>елегацій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№407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12.11.2021року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253 450,00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253 450,00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0115062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Підтримка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вищих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досягнень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фізкультурно-спортивну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– 2023 роки</w:t>
            </w:r>
            <w:r>
              <w:rPr>
                <w:rFonts w:ascii="Arial" w:eastAsia="Arial" w:hAnsi="Arial" w:cs="Arial"/>
                <w:sz w:val="14"/>
              </w:rPr>
              <w:br/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№109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16.02.2021 року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C35AF" w:rsidRDefault="002C35AF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8 758 934,00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 2022-2024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№446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12.11.2021року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8 758 934,00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1 673 251,00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1 563 101,00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0117330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0443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110 150,00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110 150,00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дорожньої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1 500 000,00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розташовані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 2022-2024 роки</w:t>
            </w:r>
            <w:r>
              <w:rPr>
                <w:rFonts w:ascii="Arial" w:eastAsia="Arial" w:hAnsi="Arial" w:cs="Arial"/>
                <w:sz w:val="14"/>
              </w:rPr>
              <w:br/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№423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12.11.2021року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1 500 000,00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Членські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асоціацій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63 101,00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63 101,00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63 101,00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63 101,00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0540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екології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ресурсів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навколишнього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середовища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на 2022-2024  роки </w:t>
            </w: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65 513 157,00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65 513 157,00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65 513 157,00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65 513 157,00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65 318 157,00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65 318 157,00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25 635 973,00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25 635 973,00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25 635 973,00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25 635 973,00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25 420 672,00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25 420 672,00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25 420 672,00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25 420 672,00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дітьми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2 440 178,00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2 440 178,00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2 440 178,00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2 440 178,00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школами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8 149 092,00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8 149 092,00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8 149 092,00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8 149 092,00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3 120 128,00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3 120 128,00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C35AF" w:rsidRDefault="002C35AF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3 120 128,00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3 120 128,00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10 860,00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10 860,00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10 860,00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10 860,00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професійного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541 254,00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541 254,00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541 254,00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541 254,00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195 000,00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195 000,00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Служба у справах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здоров"я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7 350 351,00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7 350 351,00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Служба у справах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здоров"я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7 350 351,00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7 350 351,00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3 059 375,00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3 059 375,00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2 067 587,00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2 067 587,00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некомерційного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"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лікарня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поліпшення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вторинної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№409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12.11.2021року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2 067 587,00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2 067 587,00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0726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Первинна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надається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первинної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(медико-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санітарної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991 788,00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991 788,00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некомерційного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первинної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медико-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санітарної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поліпшення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первинної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№330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382 158,00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382 158,00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жителів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лікарськими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засобамиу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амбулаторного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також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технічними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засобами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домашніх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умовах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27.08.2021року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490 419,00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490 419,00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Сільська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медицина - доступна кожному на 2022 - 2024 роки</w:t>
            </w: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119 211,00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119 211,00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4 290 976,00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4 290 976,00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законодавства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C35AF" w:rsidRDefault="002C35AF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15 950,00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15 950,00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15 950,00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15 950,00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240 000,00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501 279,00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501 279,00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501 279,00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501 279,00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громадським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об`єднанням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спрямованість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101 021,00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101 021,00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101 021,00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101 021,00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0913241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2 682 036,00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2 682 036,00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2 682 036,00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2 682 036,00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746 690,00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746 690,00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№328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27.08.2021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746 690,00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746 690,00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138 000,00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2C35AF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138 000,00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5AF" w:rsidRDefault="00BA3AD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84 276 993,00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84 072 643,00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204 350,00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35AF" w:rsidRDefault="00BA3AD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392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10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  <w:tr w:rsidR="002C35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8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5AF" w:rsidRDefault="00BA3AD1">
            <w:proofErr w:type="spellStart"/>
            <w:r>
              <w:t>Андрій</w:t>
            </w:r>
            <w:proofErr w:type="spellEnd"/>
            <w:r>
              <w:t xml:space="preserve"> ВИСІДАЛКО</w:t>
            </w:r>
          </w:p>
        </w:tc>
        <w:tc>
          <w:tcPr>
            <w:tcW w:w="900" w:type="dxa"/>
            <w:gridSpan w:val="2"/>
          </w:tcPr>
          <w:p w:rsidR="002C35AF" w:rsidRDefault="002C35AF">
            <w:pPr>
              <w:pStyle w:val="EMPTYCELLSTYLE"/>
            </w:pPr>
          </w:p>
        </w:tc>
        <w:tc>
          <w:tcPr>
            <w:tcW w:w="900" w:type="dxa"/>
          </w:tcPr>
          <w:p w:rsidR="002C35AF" w:rsidRDefault="002C35AF">
            <w:pPr>
              <w:pStyle w:val="EMPTYCELLSTYLE"/>
            </w:pPr>
          </w:p>
        </w:tc>
        <w:tc>
          <w:tcPr>
            <w:tcW w:w="400" w:type="dxa"/>
          </w:tcPr>
          <w:p w:rsidR="002C35AF" w:rsidRDefault="002C35AF">
            <w:pPr>
              <w:pStyle w:val="EMPTYCELLSTYLE"/>
            </w:pPr>
          </w:p>
        </w:tc>
      </w:tr>
    </w:tbl>
    <w:p w:rsidR="00BA3AD1" w:rsidRDefault="00BA3AD1"/>
    <w:sectPr w:rsidR="00BA3AD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AF"/>
    <w:rsid w:val="002C35AF"/>
    <w:rsid w:val="005C1FD9"/>
    <w:rsid w:val="00BA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DFA9F-4A25-45DF-80C6-32B4AD12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2021-12-09T16:26:00Z</dcterms:created>
  <dcterms:modified xsi:type="dcterms:W3CDTF">2021-12-09T16:26:00Z</dcterms:modified>
</cp:coreProperties>
</file>