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C4" w:rsidRPr="002B053F" w:rsidRDefault="002B053F">
      <w:pPr>
        <w:ind w:right="-574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object w:dxaOrig="6675" w:dyaOrig="9285">
          <v:shape id="ole_rId2" o:spid="_x0000_i1025" style="width:35.5pt;height:50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ole_rId2" DrawAspect="Content" ObjectID="_1683696817" r:id="rId6"/>
        </w:object>
      </w:r>
      <w:r>
        <w:rPr>
          <w:lang w:val="uk-UA"/>
        </w:rPr>
        <w:t xml:space="preserve">                                 проект № 266</w:t>
      </w:r>
    </w:p>
    <w:p w:rsidR="004F69C4" w:rsidRDefault="002B053F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</w:t>
      </w:r>
    </w:p>
    <w:p w:rsidR="004F69C4" w:rsidRDefault="002B053F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ГНІВАНСЬКА МІСЬКА РАДА</w:t>
      </w:r>
    </w:p>
    <w:p w:rsidR="004F69C4" w:rsidRDefault="002B053F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ТИВРІВСЬКОГО РАЙОНУ ВІННИЦЬКОЇ ОБЛАСТІ</w:t>
      </w:r>
    </w:p>
    <w:p w:rsidR="004F69C4" w:rsidRDefault="002B053F">
      <w:pPr>
        <w:jc w:val="center"/>
        <w:rPr>
          <w:b/>
          <w:color w:val="0D0D0D"/>
          <w:sz w:val="32"/>
          <w:szCs w:val="32"/>
          <w:lang w:val="uk-UA"/>
        </w:rPr>
      </w:pPr>
      <w:r>
        <w:rPr>
          <w:b/>
          <w:color w:val="0D0D0D"/>
          <w:sz w:val="32"/>
          <w:szCs w:val="32"/>
          <w:lang w:val="uk-UA"/>
        </w:rPr>
        <w:t>РІШЕННЯ № _____</w:t>
      </w:r>
    </w:p>
    <w:p w:rsidR="004F69C4" w:rsidRDefault="002B053F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129540</wp:posOffset>
                </wp:positionV>
                <wp:extent cx="6057265" cy="1270"/>
                <wp:effectExtent l="0" t="0" r="0" b="0"/>
                <wp:wrapNone/>
                <wp:docPr id="1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664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8F19CF" id="Прямая соединительная линия 3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pt,10.2pt" to="492.9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" strokeweight="1.59mm"/>
            </w:pict>
          </mc:Fallback>
        </mc:AlternateContent>
      </w:r>
    </w:p>
    <w:p w:rsidR="004F69C4" w:rsidRDefault="002B053F">
      <w:pPr>
        <w:pStyle w:val="ac"/>
        <w:spacing w:before="0" w:after="0"/>
        <w:ind w:right="-340"/>
        <w:jc w:val="both"/>
      </w:pPr>
      <w:r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u w:val="single"/>
          <w:lang w:val="uk-UA"/>
        </w:rPr>
        <w:t>2021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      </w:t>
      </w:r>
      <w:r>
        <w:rPr>
          <w:sz w:val="26"/>
          <w:szCs w:val="26"/>
          <w:lang w:val="uk-UA"/>
        </w:rPr>
        <w:tab/>
        <w:t xml:space="preserve">                            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  <w:u w:val="single"/>
          <w:lang w:val="uk-UA"/>
        </w:rPr>
        <w:t xml:space="preserve"> сесія   </w:t>
      </w:r>
      <w:r>
        <w:rPr>
          <w:sz w:val="26"/>
          <w:szCs w:val="26"/>
          <w:u w:val="single"/>
          <w:lang w:val="uk-UA"/>
        </w:rPr>
        <w:t>8</w:t>
      </w:r>
      <w:r>
        <w:rPr>
          <w:sz w:val="26"/>
          <w:szCs w:val="26"/>
          <w:u w:val="single"/>
          <w:lang w:val="uk-UA"/>
        </w:rPr>
        <w:t xml:space="preserve"> скликання</w:t>
      </w:r>
    </w:p>
    <w:p w:rsidR="004F69C4" w:rsidRDefault="004F69C4">
      <w:pPr>
        <w:rPr>
          <w:lang w:val="uk-UA"/>
        </w:rPr>
      </w:pPr>
    </w:p>
    <w:p w:rsidR="004F69C4" w:rsidRDefault="002B053F">
      <w:pPr>
        <w:ind w:left="283"/>
        <w:rPr>
          <w:sz w:val="26"/>
          <w:szCs w:val="26"/>
        </w:rPr>
      </w:pPr>
      <w:bookmarkStart w:id="0" w:name="_GoBack"/>
      <w:r>
        <w:rPr>
          <w:color w:val="000000"/>
          <w:sz w:val="26"/>
          <w:szCs w:val="26"/>
          <w:lang w:val="uk-UA"/>
        </w:rPr>
        <w:t xml:space="preserve">Про надання  дозволу  громадянам міста  на   </w:t>
      </w:r>
    </w:p>
    <w:p w:rsidR="004F69C4" w:rsidRDefault="002B053F">
      <w:pPr>
        <w:ind w:left="283"/>
      </w:pPr>
      <w:r>
        <w:rPr>
          <w:color w:val="000000"/>
          <w:sz w:val="26"/>
          <w:szCs w:val="26"/>
          <w:lang w:val="uk-UA"/>
        </w:rPr>
        <w:t>виготовлення    проектів із землеустрою щодо</w:t>
      </w:r>
    </w:p>
    <w:p w:rsidR="004F69C4" w:rsidRDefault="002B053F">
      <w:pPr>
        <w:ind w:left="283"/>
      </w:pPr>
      <w:r>
        <w:rPr>
          <w:color w:val="000000"/>
          <w:sz w:val="26"/>
          <w:szCs w:val="26"/>
          <w:lang w:val="uk-UA"/>
        </w:rPr>
        <w:t xml:space="preserve">відведення земельних ділянок безоплатно в </w:t>
      </w:r>
    </w:p>
    <w:p w:rsidR="004F69C4" w:rsidRDefault="002B053F">
      <w:pPr>
        <w:ind w:left="283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приватну власність</w:t>
      </w:r>
    </w:p>
    <w:bookmarkEnd w:id="0"/>
    <w:p w:rsidR="004F69C4" w:rsidRDefault="004F69C4">
      <w:pPr>
        <w:rPr>
          <w:color w:val="000000"/>
          <w:sz w:val="26"/>
          <w:szCs w:val="26"/>
          <w:lang w:val="uk-UA"/>
        </w:rPr>
      </w:pPr>
    </w:p>
    <w:p w:rsidR="004F69C4" w:rsidRDefault="002B053F">
      <w:pPr>
        <w:tabs>
          <w:tab w:val="left" w:pos="142"/>
        </w:tabs>
        <w:ind w:left="283" w:right="227"/>
        <w:jc w:val="both"/>
      </w:pPr>
      <w:r>
        <w:rPr>
          <w:color w:val="000000"/>
          <w:sz w:val="26"/>
          <w:szCs w:val="26"/>
          <w:lang w:val="uk-UA"/>
        </w:rPr>
        <w:t xml:space="preserve">          Відповідно   ст.26, 33 Закону  України "Про місцеве самоврядування   в</w:t>
      </w:r>
      <w:r>
        <w:rPr>
          <w:color w:val="000000"/>
          <w:sz w:val="26"/>
          <w:szCs w:val="26"/>
          <w:lang w:val="uk-UA"/>
        </w:rPr>
        <w:t xml:space="preserve"> Україні"  розглянувши  заяви громадян міста </w:t>
      </w:r>
      <w:proofErr w:type="spellStart"/>
      <w:r>
        <w:rPr>
          <w:color w:val="000000"/>
          <w:sz w:val="26"/>
          <w:szCs w:val="26"/>
          <w:lang w:val="uk-UA"/>
        </w:rPr>
        <w:t>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 з проханням надати дозвіл на виготовлення  проектів із землеустрою щодо відведення земельних ділянок безоплатно в приватну власність, якими вони користуються, керуючись </w:t>
      </w:r>
      <w:proofErr w:type="spellStart"/>
      <w:r>
        <w:rPr>
          <w:color w:val="000000"/>
          <w:sz w:val="26"/>
          <w:szCs w:val="26"/>
          <w:lang w:val="uk-UA"/>
        </w:rPr>
        <w:t>ст.ст</w:t>
      </w:r>
      <w:proofErr w:type="spellEnd"/>
      <w:r>
        <w:rPr>
          <w:color w:val="000000"/>
          <w:sz w:val="26"/>
          <w:szCs w:val="26"/>
          <w:lang w:val="uk-UA"/>
        </w:rPr>
        <w:t>. 12,78,79,79’,80,81,88,87,9</w:t>
      </w:r>
      <w:r>
        <w:rPr>
          <w:color w:val="000000"/>
          <w:sz w:val="26"/>
          <w:szCs w:val="26"/>
          <w:lang w:val="uk-UA"/>
        </w:rPr>
        <w:t>1,103,116,118,121,125,126,186 Земельного Кодексу України, ст.</w:t>
      </w:r>
      <w:r>
        <w:rPr>
          <w:sz w:val="26"/>
          <w:szCs w:val="26"/>
          <w:lang w:val="uk-UA"/>
        </w:rPr>
        <w:t xml:space="preserve"> 19,20,22,25,28,50 </w:t>
      </w:r>
      <w:r>
        <w:rPr>
          <w:color w:val="000000"/>
          <w:sz w:val="26"/>
          <w:szCs w:val="26"/>
          <w:lang w:val="uk-UA"/>
        </w:rPr>
        <w:t>Закону України «Про землеустрій», Законом України «Про статус ветеранів війни та їх соціальне забезпечення», Розпорядженням Кабінету Міністрів України «Питання забезпечення уча</w:t>
      </w:r>
      <w:r>
        <w:rPr>
          <w:color w:val="000000"/>
          <w:sz w:val="26"/>
          <w:szCs w:val="26"/>
          <w:lang w:val="uk-UA"/>
        </w:rPr>
        <w:t>сників антитерористичної операції та сімей загиблих учасників антитерористичної операції земельними ділянками» № 898-р 19 серпня 2015 року, міська рада ВИРІШИЛА:</w:t>
      </w:r>
      <w:r>
        <w:rPr>
          <w:color w:val="C9211E"/>
          <w:sz w:val="26"/>
          <w:szCs w:val="26"/>
          <w:lang w:val="uk-UA"/>
        </w:rPr>
        <w:t xml:space="preserve">   </w:t>
      </w:r>
    </w:p>
    <w:p w:rsidR="004F69C4" w:rsidRDefault="002B053F">
      <w:pPr>
        <w:tabs>
          <w:tab w:val="left" w:pos="142"/>
        </w:tabs>
        <w:overflowPunct/>
        <w:ind w:left="283" w:right="283" w:hanging="283"/>
        <w:jc w:val="both"/>
      </w:pPr>
      <w:r>
        <w:rPr>
          <w:color w:val="000000"/>
          <w:sz w:val="26"/>
          <w:szCs w:val="26"/>
          <w:lang w:val="uk-UA"/>
        </w:rPr>
        <w:t xml:space="preserve">  1. </w:t>
      </w:r>
      <w:bookmarkStart w:id="1" w:name="__DdeLink__939_925973389123122111"/>
      <w:r>
        <w:rPr>
          <w:color w:val="000000"/>
          <w:sz w:val="26"/>
          <w:szCs w:val="26"/>
          <w:lang w:val="uk-UA"/>
        </w:rPr>
        <w:t xml:space="preserve">Надати дозвіл гр. </w:t>
      </w:r>
      <w:proofErr w:type="spellStart"/>
      <w:r>
        <w:rPr>
          <w:color w:val="000000"/>
          <w:sz w:val="26"/>
          <w:szCs w:val="26"/>
          <w:lang w:val="uk-UA"/>
        </w:rPr>
        <w:t>Яненко</w:t>
      </w:r>
      <w:proofErr w:type="spellEnd"/>
      <w:r>
        <w:rPr>
          <w:color w:val="000000"/>
          <w:sz w:val="26"/>
          <w:szCs w:val="26"/>
          <w:lang w:val="uk-UA"/>
        </w:rPr>
        <w:t xml:space="preserve"> Людмилі Василівні, на виготовлення проекту із землеустрою щод</w:t>
      </w:r>
      <w:r>
        <w:rPr>
          <w:color w:val="000000"/>
          <w:sz w:val="26"/>
          <w:szCs w:val="26"/>
          <w:lang w:val="uk-UA"/>
        </w:rPr>
        <w:t xml:space="preserve">о відведення земельної ділянки орієнтовною площею 0,3100 га, яка розташована  по вул. Молодіжна, 26 с. </w:t>
      </w:r>
      <w:proofErr w:type="spellStart"/>
      <w:r>
        <w:rPr>
          <w:color w:val="000000"/>
          <w:sz w:val="26"/>
          <w:szCs w:val="26"/>
          <w:lang w:val="uk-UA"/>
        </w:rPr>
        <w:t>Могилівка</w:t>
      </w:r>
      <w:proofErr w:type="spellEnd"/>
      <w:r>
        <w:rPr>
          <w:color w:val="000000"/>
          <w:sz w:val="26"/>
          <w:szCs w:val="26"/>
          <w:lang w:val="uk-UA"/>
        </w:rPr>
        <w:t xml:space="preserve">, Жмеринського району, Вінницької області, для  передачі її безоплатно в приватну власність, для </w:t>
      </w:r>
      <w:bookmarkEnd w:id="1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  <w:bookmarkStart w:id="2" w:name="__DdeLink__5206_458086131"/>
      <w:bookmarkEnd w:id="2"/>
    </w:p>
    <w:p w:rsidR="004F69C4" w:rsidRDefault="002B053F">
      <w:pPr>
        <w:tabs>
          <w:tab w:val="left" w:pos="142"/>
        </w:tabs>
        <w:ind w:left="283" w:right="283"/>
        <w:jc w:val="both"/>
      </w:pPr>
      <w:bookmarkStart w:id="3" w:name="__DdeLink__147_3798504512"/>
      <w:r>
        <w:rPr>
          <w:color w:val="000000"/>
          <w:sz w:val="26"/>
          <w:szCs w:val="26"/>
          <w:lang w:val="uk-UA"/>
        </w:rPr>
        <w:t>2</w:t>
      </w:r>
      <w:bookmarkStart w:id="4" w:name="__DdeLink__5206_4580861311"/>
      <w:r>
        <w:rPr>
          <w:color w:val="000000"/>
          <w:sz w:val="26"/>
          <w:szCs w:val="26"/>
          <w:lang w:val="uk-UA"/>
        </w:rPr>
        <w:t>.</w:t>
      </w:r>
      <w:r>
        <w:rPr>
          <w:color w:val="000000"/>
          <w:sz w:val="26"/>
          <w:szCs w:val="26"/>
          <w:lang w:val="uk-UA"/>
        </w:rPr>
        <w:t xml:space="preserve"> Надати дозвіл  гр. Тимофієвій Марії Сергіївні, на  виготовлення проекту із землеустрою щодо відведення земельної ділянки  площею 0,2500 га, яка розташована по вул. Сонячній с. </w:t>
      </w:r>
      <w:proofErr w:type="spellStart"/>
      <w:r>
        <w:rPr>
          <w:color w:val="000000"/>
          <w:sz w:val="26"/>
          <w:szCs w:val="26"/>
          <w:lang w:val="uk-UA"/>
        </w:rPr>
        <w:t>Ворошилівка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області, для передачі її  безоплатно</w:t>
      </w:r>
      <w:r>
        <w:rPr>
          <w:color w:val="000000"/>
          <w:sz w:val="26"/>
          <w:szCs w:val="26"/>
          <w:lang w:val="uk-UA"/>
        </w:rPr>
        <w:t xml:space="preserve"> в приватну власність для будівництва і обслуговування житлового будинку, господарських будівель і споруд.</w:t>
      </w:r>
      <w:bookmarkEnd w:id="3"/>
      <w:bookmarkEnd w:id="4"/>
    </w:p>
    <w:p w:rsidR="004F69C4" w:rsidRDefault="002B053F">
      <w:pPr>
        <w:tabs>
          <w:tab w:val="left" w:pos="142"/>
        </w:tabs>
        <w:overflowPunct/>
        <w:ind w:left="283" w:right="227" w:hanging="283"/>
        <w:jc w:val="both"/>
      </w:pPr>
      <w:r>
        <w:rPr>
          <w:color w:val="000000"/>
          <w:sz w:val="26"/>
          <w:szCs w:val="26"/>
          <w:lang w:val="uk-UA"/>
        </w:rPr>
        <w:t xml:space="preserve">  3. </w:t>
      </w:r>
      <w:bookmarkStart w:id="5" w:name="__DdeLink__939_9259733891231221213"/>
      <w:r>
        <w:rPr>
          <w:color w:val="000000"/>
          <w:sz w:val="26"/>
          <w:szCs w:val="26"/>
          <w:lang w:val="uk-UA"/>
        </w:rPr>
        <w:t xml:space="preserve">Надати дозвіл гр. </w:t>
      </w:r>
      <w:proofErr w:type="spellStart"/>
      <w:r>
        <w:rPr>
          <w:color w:val="000000"/>
          <w:sz w:val="26"/>
          <w:szCs w:val="26"/>
          <w:lang w:val="uk-UA"/>
        </w:rPr>
        <w:t>Поступайло</w:t>
      </w:r>
      <w:proofErr w:type="spellEnd"/>
      <w:r>
        <w:rPr>
          <w:color w:val="000000"/>
          <w:sz w:val="26"/>
          <w:szCs w:val="26"/>
          <w:lang w:val="uk-UA"/>
        </w:rPr>
        <w:t xml:space="preserve"> Павлу Петровичу, на виготовлення проекту із землеустрою щодо відведення земельної ділянки, площею 2,0000 га, яка розташована  за межами населеного пункту м. </w:t>
      </w:r>
      <w:proofErr w:type="spellStart"/>
      <w:r>
        <w:rPr>
          <w:color w:val="000000"/>
          <w:sz w:val="26"/>
          <w:szCs w:val="26"/>
          <w:lang w:val="uk-UA"/>
        </w:rPr>
        <w:t>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,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району, Вінницької області, для  передачі її без</w:t>
      </w:r>
      <w:r>
        <w:rPr>
          <w:color w:val="000000"/>
          <w:sz w:val="26"/>
          <w:szCs w:val="26"/>
          <w:lang w:val="uk-UA"/>
        </w:rPr>
        <w:t xml:space="preserve">оплатно в приватну власність, для </w:t>
      </w:r>
      <w:bookmarkEnd w:id="5"/>
      <w:r>
        <w:rPr>
          <w:color w:val="000000"/>
          <w:sz w:val="26"/>
          <w:szCs w:val="26"/>
          <w:lang w:val="uk-UA"/>
        </w:rPr>
        <w:t>ведення особистого селянського господарства.</w:t>
      </w:r>
    </w:p>
    <w:p w:rsidR="004F69C4" w:rsidRDefault="002B053F">
      <w:pPr>
        <w:tabs>
          <w:tab w:val="left" w:pos="142"/>
        </w:tabs>
        <w:ind w:left="283" w:right="283"/>
        <w:jc w:val="both"/>
      </w:pPr>
      <w:r>
        <w:rPr>
          <w:color w:val="000000"/>
          <w:sz w:val="26"/>
          <w:szCs w:val="26"/>
          <w:lang w:val="uk-UA"/>
        </w:rPr>
        <w:t>4</w:t>
      </w:r>
      <w:bookmarkStart w:id="6" w:name="__DdeLink__5206_45808613111"/>
      <w:r>
        <w:rPr>
          <w:color w:val="000000"/>
          <w:sz w:val="26"/>
          <w:szCs w:val="26"/>
          <w:lang w:val="uk-UA"/>
        </w:rPr>
        <w:t xml:space="preserve">. Надати дозвіл  гр. </w:t>
      </w:r>
      <w:proofErr w:type="spellStart"/>
      <w:r>
        <w:rPr>
          <w:color w:val="000000"/>
          <w:sz w:val="26"/>
          <w:szCs w:val="26"/>
          <w:lang w:val="uk-UA"/>
        </w:rPr>
        <w:t>Куліцькій</w:t>
      </w:r>
      <w:proofErr w:type="spellEnd"/>
      <w:r>
        <w:rPr>
          <w:color w:val="000000"/>
          <w:sz w:val="26"/>
          <w:szCs w:val="26"/>
          <w:lang w:val="uk-UA"/>
        </w:rPr>
        <w:t xml:space="preserve"> Вікторії Петрівні, на  виготовлення проекту із землеустрою щодо відведення земельної ділянки  площею 0,1300 га, яка розташована по вул. Молодіжна</w:t>
      </w:r>
      <w:r>
        <w:rPr>
          <w:color w:val="000000"/>
          <w:sz w:val="26"/>
          <w:szCs w:val="26"/>
          <w:lang w:val="uk-UA"/>
        </w:rPr>
        <w:t xml:space="preserve"> с. Селище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області, для передачі її  безоплатно в приватну власність для будівництва і обслуговування житлового будинку, господарських будівель і споруд.</w:t>
      </w:r>
      <w:bookmarkEnd w:id="6"/>
    </w:p>
    <w:p w:rsidR="004F69C4" w:rsidRDefault="002B053F">
      <w:pPr>
        <w:tabs>
          <w:tab w:val="left" w:pos="142"/>
        </w:tabs>
        <w:ind w:left="283" w:right="283"/>
        <w:jc w:val="both"/>
      </w:pPr>
      <w:r>
        <w:rPr>
          <w:color w:val="000000"/>
          <w:sz w:val="26"/>
          <w:szCs w:val="26"/>
          <w:lang w:val="uk-UA"/>
        </w:rPr>
        <w:t>5</w:t>
      </w:r>
      <w:bookmarkStart w:id="7" w:name="__DdeLink__5206_45808613121"/>
      <w:r>
        <w:rPr>
          <w:color w:val="000000"/>
          <w:sz w:val="26"/>
          <w:szCs w:val="26"/>
          <w:lang w:val="uk-UA"/>
        </w:rPr>
        <w:t>. Надати дозвіл  гр. П’ятакову Вадиму Сергійовичу,  на  виготовлення п</w:t>
      </w:r>
      <w:r>
        <w:rPr>
          <w:color w:val="000000"/>
          <w:sz w:val="26"/>
          <w:szCs w:val="26"/>
          <w:lang w:val="uk-UA"/>
        </w:rPr>
        <w:t xml:space="preserve">роекту із землеустрою щодо відведення земельної ділянки загальною площею 0,1000 га, яка розташована в м. </w:t>
      </w:r>
      <w:proofErr w:type="spellStart"/>
      <w:r>
        <w:rPr>
          <w:color w:val="000000"/>
          <w:sz w:val="26"/>
          <w:szCs w:val="26"/>
          <w:lang w:val="uk-UA"/>
        </w:rPr>
        <w:t>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Тиврівського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району Вінницької області, для передачі її  безоплатно в приватну власність для будівництва та обслуговування житлового будинку, г</w:t>
      </w:r>
      <w:r>
        <w:rPr>
          <w:color w:val="000000"/>
          <w:sz w:val="26"/>
          <w:szCs w:val="26"/>
          <w:lang w:val="uk-UA"/>
        </w:rPr>
        <w:t>осподарських будівель і споруд.</w:t>
      </w:r>
      <w:bookmarkEnd w:id="7"/>
      <w:r>
        <w:rPr>
          <w:color w:val="000000"/>
          <w:sz w:val="26"/>
          <w:szCs w:val="26"/>
          <w:lang w:val="uk-UA"/>
        </w:rPr>
        <w:t xml:space="preserve"> </w:t>
      </w:r>
    </w:p>
    <w:p w:rsidR="004F69C4" w:rsidRDefault="002B053F">
      <w:pPr>
        <w:tabs>
          <w:tab w:val="left" w:pos="285"/>
          <w:tab w:val="left" w:pos="420"/>
        </w:tabs>
        <w:overflowPunct/>
        <w:ind w:left="340" w:right="227" w:hanging="283"/>
        <w:jc w:val="both"/>
      </w:pPr>
      <w:r>
        <w:rPr>
          <w:color w:val="000000"/>
          <w:sz w:val="26"/>
          <w:szCs w:val="26"/>
          <w:lang w:val="uk-UA"/>
        </w:rPr>
        <w:lastRenderedPageBreak/>
        <w:t xml:space="preserve">   </w:t>
      </w:r>
      <w:r>
        <w:rPr>
          <w:color w:val="000000"/>
          <w:sz w:val="26"/>
          <w:szCs w:val="26"/>
          <w:lang w:val="uk-UA"/>
        </w:rPr>
        <w:t>6</w:t>
      </w:r>
      <w:r>
        <w:rPr>
          <w:color w:val="000000"/>
          <w:sz w:val="26"/>
          <w:szCs w:val="26"/>
          <w:lang w:val="uk-UA"/>
        </w:rPr>
        <w:t>. Громадянам за власні кошти розробити проект землеустрою в землевпорядній організації, яка має відповідний дозвіл, погодити її в установленому порядку та представити на сесію міської ради для затвердження та визначення</w:t>
      </w:r>
      <w:r>
        <w:rPr>
          <w:color w:val="000000"/>
          <w:sz w:val="26"/>
          <w:szCs w:val="26"/>
          <w:lang w:val="uk-UA"/>
        </w:rPr>
        <w:t xml:space="preserve"> права на земельні ділянки.             </w:t>
      </w:r>
    </w:p>
    <w:p w:rsidR="004F69C4" w:rsidRDefault="002B053F">
      <w:pPr>
        <w:shd w:val="clear" w:color="auto" w:fill="FFFFFF"/>
        <w:tabs>
          <w:tab w:val="left" w:pos="142"/>
          <w:tab w:val="left" w:pos="851"/>
          <w:tab w:val="left" w:pos="1134"/>
          <w:tab w:val="left" w:pos="9471"/>
        </w:tabs>
        <w:ind w:left="283" w:right="170"/>
        <w:jc w:val="both"/>
      </w:pPr>
      <w:r>
        <w:rPr>
          <w:color w:val="000000"/>
          <w:sz w:val="26"/>
          <w:szCs w:val="26"/>
          <w:lang w:val="uk-UA"/>
        </w:rPr>
        <w:t>7</w:t>
      </w:r>
      <w:r>
        <w:rPr>
          <w:color w:val="000000"/>
          <w:sz w:val="26"/>
          <w:szCs w:val="26"/>
          <w:lang w:val="uk-UA"/>
        </w:rPr>
        <w:t>.  Попередити землекористувача  та розробника  документації із землеустрою про те, що вони несуть відповідальність за достовірність, якість та безпеку заходів які вона містить .</w:t>
      </w:r>
    </w:p>
    <w:p w:rsidR="004F69C4" w:rsidRDefault="002B053F">
      <w:pPr>
        <w:shd w:val="clear" w:color="auto" w:fill="FFFFFF"/>
        <w:tabs>
          <w:tab w:val="left" w:pos="142"/>
          <w:tab w:val="left" w:pos="851"/>
          <w:tab w:val="left" w:pos="1134"/>
        </w:tabs>
        <w:ind w:left="283" w:right="17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>.  Контроль за виконанням даного рі</w:t>
      </w:r>
      <w:r>
        <w:rPr>
          <w:sz w:val="26"/>
          <w:szCs w:val="26"/>
          <w:lang w:val="uk-UA"/>
        </w:rPr>
        <w:t>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>
        <w:rPr>
          <w:sz w:val="26"/>
          <w:szCs w:val="26"/>
          <w:lang w:val="uk-UA"/>
        </w:rPr>
        <w:t>Берещук</w:t>
      </w:r>
      <w:proofErr w:type="spellEnd"/>
      <w:r>
        <w:rPr>
          <w:sz w:val="26"/>
          <w:szCs w:val="26"/>
          <w:lang w:val="uk-UA"/>
        </w:rPr>
        <w:t xml:space="preserve"> М.В.)</w:t>
      </w:r>
    </w:p>
    <w:p w:rsidR="004F69C4" w:rsidRDefault="004F69C4">
      <w:pPr>
        <w:shd w:val="clear" w:color="auto" w:fill="FFFFFF"/>
        <w:tabs>
          <w:tab w:val="left" w:pos="142"/>
          <w:tab w:val="left" w:pos="851"/>
          <w:tab w:val="left" w:pos="1134"/>
        </w:tabs>
        <w:ind w:left="283" w:right="170"/>
        <w:jc w:val="both"/>
        <w:rPr>
          <w:color w:val="000000"/>
          <w:sz w:val="26"/>
          <w:szCs w:val="26"/>
          <w:lang w:val="uk-UA"/>
        </w:rPr>
      </w:pPr>
    </w:p>
    <w:p w:rsidR="004F69C4" w:rsidRDefault="004F69C4">
      <w:pPr>
        <w:shd w:val="clear" w:color="auto" w:fill="FFFFFF"/>
        <w:tabs>
          <w:tab w:val="left" w:pos="142"/>
          <w:tab w:val="left" w:pos="851"/>
          <w:tab w:val="left" w:pos="1134"/>
        </w:tabs>
        <w:ind w:left="284" w:right="423"/>
        <w:jc w:val="both"/>
        <w:rPr>
          <w:color w:val="000000"/>
          <w:sz w:val="26"/>
          <w:szCs w:val="26"/>
          <w:lang w:val="uk-UA"/>
        </w:rPr>
      </w:pPr>
    </w:p>
    <w:p w:rsidR="004F69C4" w:rsidRDefault="002B053F">
      <w:pPr>
        <w:shd w:val="clear" w:color="auto" w:fill="FFFFFF"/>
        <w:tabs>
          <w:tab w:val="left" w:pos="142"/>
          <w:tab w:val="left" w:pos="851"/>
          <w:tab w:val="left" w:pos="1134"/>
        </w:tabs>
        <w:jc w:val="both"/>
      </w:pPr>
      <w:r>
        <w:rPr>
          <w:color w:val="000000"/>
          <w:sz w:val="26"/>
          <w:szCs w:val="26"/>
          <w:lang w:val="uk-UA"/>
        </w:rPr>
        <w:t xml:space="preserve">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</w:t>
      </w:r>
    </w:p>
    <w:p w:rsidR="004F69C4" w:rsidRDefault="002B053F">
      <w:pPr>
        <w:shd w:val="clear" w:color="auto" w:fill="FFFFFF"/>
        <w:tabs>
          <w:tab w:val="left" w:pos="142"/>
          <w:tab w:val="left" w:pos="851"/>
          <w:tab w:val="left" w:pos="1134"/>
        </w:tabs>
        <w:jc w:val="both"/>
      </w:pPr>
      <w:r>
        <w:rPr>
          <w:sz w:val="26"/>
          <w:szCs w:val="26"/>
          <w:lang w:val="uk-UA"/>
        </w:rPr>
        <w:t xml:space="preserve">         Міський  голова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В.В.Кулешов</w:t>
      </w:r>
      <w:proofErr w:type="spellEnd"/>
    </w:p>
    <w:p w:rsidR="004F69C4" w:rsidRDefault="004F69C4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4F69C4" w:rsidRDefault="004F69C4"/>
    <w:sectPr w:rsidR="004F69C4">
      <w:pgSz w:w="11906" w:h="16838"/>
      <w:pgMar w:top="851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F69C4"/>
    <w:rsid w:val="002B053F"/>
    <w:rsid w:val="004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FDE1"/>
  <w15:docId w15:val="{CF51D090-E0C8-4DCA-908A-EBB6F87C6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D49"/>
    <w:pPr>
      <w:overflowPunct w:val="0"/>
    </w:pPr>
    <w:rPr>
      <w:rFonts w:ascii="Times New Roman" w:eastAsia="Times New Roman" w:hAnsi="Times New Roman" w:cs="Times New Roman"/>
      <w:kern w:val="0"/>
      <w:sz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B33B3"/>
    <w:rPr>
      <w:rFonts w:ascii="Arial" w:hAnsi="Arial" w:cs="Arial"/>
      <w:b/>
      <w:bCs/>
      <w:kern w:val="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qFormat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3">
    <w:name w:val="Символ нумерації"/>
    <w:qFormat/>
  </w:style>
  <w:style w:type="character" w:customStyle="1" w:styleId="a4">
    <w:name w:val="Гіперпосилання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qFormat/>
    <w:rPr>
      <w:rFonts w:ascii="Tahoma" w:hAnsi="Tahoma" w:cs="Tahoma"/>
      <w:sz w:val="16"/>
      <w:szCs w:val="16"/>
      <w:lang w:val="ru-RU"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next w:val="a"/>
    <w:qFormat/>
    <w:pPr>
      <w:jc w:val="center"/>
    </w:pPr>
    <w:rPr>
      <w:b/>
      <w:bCs/>
      <w:color w:val="000080"/>
      <w:sz w:val="28"/>
      <w:szCs w:val="28"/>
      <w:lang w:val="uk-UA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34"/>
    <w:qFormat/>
    <w:rsid w:val="00247C57"/>
    <w:pPr>
      <w:ind w:left="720"/>
      <w:contextualSpacing/>
    </w:pPr>
  </w:style>
  <w:style w:type="paragraph" w:styleId="ac">
    <w:name w:val="Normal (Web)"/>
    <w:basedOn w:val="a"/>
    <w:qFormat/>
    <w:pPr>
      <w:spacing w:before="280" w:after="280"/>
    </w:pPr>
  </w:style>
  <w:style w:type="paragraph" w:styleId="22">
    <w:name w:val="Body Text Indent 2"/>
    <w:basedOn w:val="a"/>
    <w:qFormat/>
    <w:pPr>
      <w:spacing w:after="120" w:line="480" w:lineRule="auto"/>
      <w:ind w:left="283"/>
    </w:pPr>
  </w:style>
  <w:style w:type="paragraph" w:customStyle="1" w:styleId="ad">
    <w:name w:val="Верхній і нижній колонтитули"/>
    <w:basedOn w:val="a"/>
    <w:qFormat/>
    <w:pPr>
      <w:suppressLineNumbers/>
      <w:tabs>
        <w:tab w:val="center" w:pos="4960"/>
        <w:tab w:val="right" w:pos="9921"/>
      </w:tabs>
    </w:pPr>
  </w:style>
  <w:style w:type="paragraph" w:styleId="ae">
    <w:name w:val="header"/>
    <w:basedOn w:val="ad"/>
  </w:style>
  <w:style w:type="paragraph" w:customStyle="1" w:styleId="af">
    <w:name w:val="Вміст таблиці"/>
    <w:basedOn w:val="a"/>
    <w:qFormat/>
    <w:pPr>
      <w:suppressLineNumbers/>
    </w:pPr>
  </w:style>
  <w:style w:type="paragraph" w:customStyle="1" w:styleId="af0">
    <w:name w:val="Заголовок таблиці"/>
    <w:basedOn w:val="af"/>
    <w:qFormat/>
    <w:pPr>
      <w:jc w:val="center"/>
    </w:pPr>
    <w:rPr>
      <w:b/>
      <w:bCs/>
    </w:r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FA903F5C-ACF3-458C-81EA-95E3CB12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2</Pages>
  <Words>729</Words>
  <Characters>4161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dc:description/>
  <cp:lastModifiedBy>Админ</cp:lastModifiedBy>
  <cp:revision>192</cp:revision>
  <cp:lastPrinted>2020-02-05T10:03:00Z</cp:lastPrinted>
  <dcterms:created xsi:type="dcterms:W3CDTF">2019-05-14T12:17:00Z</dcterms:created>
  <dcterms:modified xsi:type="dcterms:W3CDTF">2021-05-28T05:47:00Z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