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18" w:rsidRPr="00E26BC2" w:rsidRDefault="00137D18" w:rsidP="00137D18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26BC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</w:t>
      </w:r>
      <w:r w:rsidRPr="00E26BC2">
        <w:rPr>
          <w:rFonts w:eastAsia="Arial Unicode MS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0480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1A50">
        <w:rPr>
          <w:color w:val="000000" w:themeColor="text1"/>
          <w:sz w:val="28"/>
          <w:szCs w:val="28"/>
          <w:lang w:val="uk-UA"/>
        </w:rPr>
        <w:t xml:space="preserve">                           проект № 260.1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У  К</w:t>
      </w:r>
      <w:proofErr w:type="gramEnd"/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 xml:space="preserve">  Р  А  Ї  Н  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ГНІВАНСЬКА    МІСЬКА     РАДА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ТИВРІВСЬКОГО    РАЙОНУ  ВІННИЦЬКОЇ    ОБЛАСТІ</w:t>
      </w:r>
    </w:p>
    <w:p w:rsidR="00137D18" w:rsidRPr="00E26BC2" w:rsidRDefault="00137D18" w:rsidP="00137D18">
      <w:pPr>
        <w:keepNext/>
        <w:spacing w:after="0"/>
        <w:jc w:val="center"/>
        <w:outlineLvl w:val="2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НЯ  № </w:t>
      </w:r>
    </w:p>
    <w:p w:rsidR="00137D18" w:rsidRPr="00E26BC2" w:rsidRDefault="00325FD4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" strokeweight="4.5pt">
            <v:stroke linestyle="thickThin"/>
          </v:line>
        </w:pic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 xml:space="preserve"> 2021 року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                                                  </w:t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E26B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5 сесія  8 скликання</w:t>
      </w:r>
    </w:p>
    <w:p w:rsidR="00137D18" w:rsidRPr="00E26BC2" w:rsidRDefault="00137D18" w:rsidP="00137D1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громадського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пасовищ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 </w:t>
      </w:r>
    </w:p>
    <w:p w:rsidR="00137D18" w:rsidRPr="00913CF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території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lang w:val="uk-UA"/>
        </w:rPr>
        <w:t> 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Гніванської міської територіальної</w:t>
      </w:r>
    </w:p>
    <w:p w:rsidR="00137D18" w:rsidRPr="00E26BC2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громади, за </w:t>
      </w:r>
      <w:r w:rsidR="00913C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межами населеного пункту села</w:t>
      </w:r>
    </w:p>
    <w:p w:rsidR="00137D18" w:rsidRPr="0082034C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26B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Грижинці</w:t>
      </w:r>
    </w:p>
    <w:p w:rsidR="00137D18" w:rsidRPr="0082034C" w:rsidRDefault="00137D18" w:rsidP="00137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        Відповідно до ст.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26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33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ст.ст. 34, 83 Земельного Кодексу України, розглянувши клопотання уповноважених осіб від власників великої </w:t>
      </w:r>
      <w:r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рогатої худоби,  сесія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ради</w:t>
      </w:r>
    </w:p>
    <w:p w:rsidR="00137D18" w:rsidRPr="00137D18" w:rsidRDefault="00137D18" w:rsidP="00137D1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137D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ВИРІШИЛА:</w:t>
      </w:r>
    </w:p>
    <w:p w:rsidR="00137D18" w:rsidRPr="00137D18" w:rsidRDefault="00137D18" w:rsidP="00137D18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82034C" w:rsidRDefault="00CB2C3F" w:rsidP="00961A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 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Створити громадське пасовище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території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Гнівансь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кої міської ради, за межами населеного пункту села Грижинці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82034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земельних ділянках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сільськогосподарського призначення, комунальної власності площею</w:t>
      </w:r>
      <w:r w:rsidR="0082034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82034C" w:rsidRDefault="0082034C" w:rsidP="00913CF2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</w:pPr>
    </w:p>
    <w:p w:rsidR="0082034C" w:rsidRPr="0082034C" w:rsidRDefault="00137D18" w:rsidP="00913CF2">
      <w:pPr>
        <w:shd w:val="clear" w:color="auto" w:fill="FFFFFF"/>
        <w:spacing w:after="0" w:line="240" w:lineRule="auto"/>
        <w:ind w:right="30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  <w:r w:rsidRPr="0082034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</w:t>
      </w:r>
      <w:r w:rsidR="0082034C" w:rsidRPr="0082034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- </w:t>
      </w:r>
      <w:r w:rsidRPr="0082034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43,9310 га, кадастровий номер   </w:t>
      </w: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0524510500:02:002:0156</w:t>
      </w:r>
      <w:r w:rsidR="0082034C"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82034C" w:rsidRPr="0082034C" w:rsidRDefault="0082034C" w:rsidP="00913CF2">
      <w:pPr>
        <w:shd w:val="clear" w:color="auto" w:fill="FFFFFF"/>
        <w:spacing w:after="0" w:line="240" w:lineRule="auto"/>
        <w:ind w:right="30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- 7,5913 га, кадастровий номер 0524510500:02:002:0155:</w:t>
      </w:r>
    </w:p>
    <w:p w:rsidR="0082034C" w:rsidRPr="0082034C" w:rsidRDefault="0082034C" w:rsidP="00913CF2">
      <w:pPr>
        <w:shd w:val="clear" w:color="auto" w:fill="FFFFFF"/>
        <w:spacing w:after="0" w:line="240" w:lineRule="auto"/>
        <w:ind w:right="30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- 8.0535 га, кадастровий номер  0524510500:02:002:0308</w:t>
      </w:r>
    </w:p>
    <w:p w:rsidR="0082034C" w:rsidRPr="0082034C" w:rsidRDefault="0082034C" w:rsidP="00913CF2">
      <w:pPr>
        <w:shd w:val="clear" w:color="auto" w:fill="FFFFFF"/>
        <w:spacing w:after="0" w:line="240" w:lineRule="auto"/>
        <w:ind w:right="30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913CF2" w:rsidRPr="0082034C" w:rsidRDefault="00137D18" w:rsidP="00913CF2">
      <w:pPr>
        <w:shd w:val="clear" w:color="auto" w:fill="FFFFFF"/>
        <w:spacing w:after="0" w:line="240" w:lineRule="auto"/>
        <w:ind w:right="30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uk-UA"/>
        </w:rPr>
      </w:pP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:rsidR="00137D18" w:rsidRPr="00137D18" w:rsidRDefault="00CB2C3F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913CF2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913CF2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 xml:space="preserve">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Положення про громадські па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совища на території Гніванської міської територіальної громади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82034C" w:rsidRDefault="00CB2C3F" w:rsidP="00961A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3.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Надати дозвіл на виготовлення проекту землеустрою  </w:t>
      </w:r>
      <w:r w:rsidR="0082034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щодо відведення земельних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82034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ок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(КЦВЗ 16.00)</w:t>
      </w:r>
      <w:r w:rsidR="00137D18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2034C" w:rsidRDefault="0082034C" w:rsidP="00961A5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площею  </w:t>
      </w:r>
      <w:r w:rsidR="00913CF2" w:rsidRP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43,9310 га, кадастровий номер   </w:t>
      </w:r>
      <w:r w:rsidR="00913CF2"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0524510500:02:002:0156</w:t>
      </w:r>
    </w:p>
    <w:p w:rsidR="0082034C" w:rsidRPr="0082034C" w:rsidRDefault="00913CF2" w:rsidP="00961A5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82034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82034C"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- площею  7,5913 га, кадастровий номер 0524510500:02:002:0155:</w:t>
      </w:r>
    </w:p>
    <w:p w:rsidR="0082034C" w:rsidRPr="0082034C" w:rsidRDefault="0082034C" w:rsidP="00961A50">
      <w:pPr>
        <w:shd w:val="clear" w:color="auto" w:fill="FFFFFF"/>
        <w:spacing w:after="0" w:line="240" w:lineRule="auto"/>
        <w:ind w:right="-1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</w:pP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 xml:space="preserve">-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 xml:space="preserve">площею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82034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uk-UA"/>
        </w:rPr>
        <w:t>8.0535 га, кадастровий номер  0524510500:02:002:0308</w:t>
      </w:r>
    </w:p>
    <w:p w:rsidR="00137D18" w:rsidRPr="00913CF2" w:rsidRDefault="0082034C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зі зміною їх</w:t>
      </w:r>
      <w:r w:rsidR="00913CF2"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цільового призначення у землі сільськогосподарського призначення</w:t>
      </w:r>
      <w:r w:rsidR="00CB2C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категорії (КЦВЗ 18.00</w:t>
      </w:r>
      <w:r w:rsid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CB2C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у землі загального користування</w:t>
      </w:r>
      <w:r w:rsid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913CF2" w:rsidRPr="00913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для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влаштування 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громадського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пасовищ</w:t>
      </w:r>
      <w:r w:rsidR="00137D18" w:rsidRP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137D18" w:rsidRPr="00E26BC2" w:rsidRDefault="00CB2C3F" w:rsidP="00961A50">
      <w:pPr>
        <w:shd w:val="clear" w:color="auto" w:fill="FFFFFF"/>
        <w:spacing w:after="0" w:line="240" w:lineRule="auto"/>
        <w:ind w:left="-6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Контроль за виконанням даного рішення покласти на постійну комісію міської ради  з питань земельних відносин, природокористування, планування </w:t>
      </w:r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території, будівництва, архітектури, охорони пам'яток історичного середовища та благоустрою. (</w:t>
      </w:r>
      <w:proofErr w:type="spellStart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137D18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М)</w:t>
      </w:r>
      <w:r w:rsidR="00137D18" w:rsidRPr="00E26BC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</w:p>
    <w:p w:rsidR="00137D18" w:rsidRPr="00137D18" w:rsidRDefault="00137D18" w:rsidP="00961A50">
      <w:pPr>
        <w:shd w:val="clear" w:color="auto" w:fill="FFFFFF"/>
        <w:spacing w:line="240" w:lineRule="auto"/>
        <w:ind w:right="-1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E26BC2" w:rsidRPr="00E26BC2" w:rsidRDefault="00137D18" w:rsidP="00961A50">
      <w:pPr>
        <w:shd w:val="clear" w:color="auto" w:fill="FFFFFF"/>
        <w:spacing w:line="240" w:lineRule="auto"/>
        <w:ind w:right="-1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В.В.Кулешов</w:t>
      </w:r>
    </w:p>
    <w:p w:rsidR="00E26BC2" w:rsidRPr="00E26BC2" w:rsidRDefault="00E26BC2" w:rsidP="00961A50">
      <w:pPr>
        <w:ind w:right="-1"/>
        <w:jc w:val="both"/>
        <w:rPr>
          <w:color w:val="000000" w:themeColor="text1"/>
          <w:lang w:val="uk-UA"/>
        </w:rPr>
      </w:pP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26BC2" w:rsidRPr="00E26BC2" w:rsidRDefault="00137D18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26BC2" w:rsidRPr="00E26BC2" w:rsidRDefault="00E26BC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Додаток </w:t>
      </w:r>
    </w:p>
    <w:p w:rsidR="00E26BC2" w:rsidRPr="00E26BC2" w:rsidRDefault="00E26BC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E26BC2" w:rsidRPr="00E26BC2" w:rsidRDefault="00E26BC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    </w:t>
      </w:r>
    </w:p>
    <w:p w:rsidR="00E26BC2" w:rsidRPr="00E26BC2" w:rsidRDefault="00E26BC2" w:rsidP="00961A50">
      <w:pPr>
        <w:tabs>
          <w:tab w:val="left" w:pos="7410"/>
        </w:tabs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37D18" w:rsidRPr="0082034C" w:rsidRDefault="00137D18" w:rsidP="00961A50">
      <w:pPr>
        <w:shd w:val="clear" w:color="auto" w:fill="FFFFFF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8203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</w:t>
      </w: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громадські пасовища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на території </w:t>
      </w:r>
      <w:r w:rsidR="00E26B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Гніванської міської територіальної громади</w:t>
      </w: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82034C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Положення про громадські пасовища на території 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Гніванської міської територіальної громади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України, з метою регулювання земельних відносин щодо спільного використання па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совищ власниками худоби, громадянами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територіальної громади.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Громадське пасовище формується за бажанням членів територіальної громади – власників х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удоби,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із земель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запасу комунальної власності  і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призначається для спільного використання на добров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ільних засадах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37D18" w:rsidRPr="00137D18" w:rsidRDefault="0082034C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Кількісний і персональний склад користувачів громадс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ьких пасовищ формується щорічно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початок року, на підставі волевиявлення громадян (пи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сьмових заяв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ім’я міського  голови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погоджується на загальних зборах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затверджується на сесії Гніванської міської ради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Термін та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сума 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орендної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плати за користування громадським пасовищем,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 також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інші питання щодо організації використання пасовища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CB2C3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обговорюється на засіданні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постійної депутатської комісії</w:t>
      </w:r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Берещук</w:t>
      </w:r>
      <w:proofErr w:type="spellEnd"/>
      <w:r w:rsidR="00E26BC2" w:rsidRPr="00E26B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В.) в присутності уповноваженої особи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 яка обрана за загальних зборах громадян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представляти інтереси власників худоби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26B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Оплата за користування земельною ділянкою для громадського пасовища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здійснюється уповноваженою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особою бе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зпосередньо на рахунок міської   ради. 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Питання поліпшення пасовища (підсів,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удобрення тощо)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вирішуються в рамках вимог діючого законодавства за рахунок коштів користувачів, а в окремих випадках шляхом створення спеціального фонду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 за рахунок внесків користувачів, так і благодійних внесків інших фізичних і юридичних осіб та грантів.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 Порядок створення громадського пасовища:</w:t>
      </w:r>
    </w:p>
    <w:p w:rsidR="00137D18" w:rsidRPr="00F45B26" w:rsidRDefault="00F45B26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загальних зборів власників худоби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визначається  уповноважена особа, на яку покладають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ся обов’язки щодо організації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документального 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формлення, ведення контролю за сплатою орендної плати за порядком користування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земельною ділянкою, що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надається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рахунок земель запасу комунальної в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ласності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F45B26" w:rsidRPr="00137D18" w:rsidRDefault="00F45B26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Загальні збори проводяться за участі представників Гніванської міської ради та результати зборів оформляються протоколом, додатком до якого є список власників худоби, які будуть використовувати громадське пасовище.</w:t>
      </w:r>
    </w:p>
    <w:p w:rsidR="00137D18" w:rsidRPr="00137D18" w:rsidRDefault="00137D18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уповноважена особа звертається з відп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овідним клопотанням до Гніванської міської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про надання земельної ділянки під громадське пасовище;</w:t>
      </w:r>
    </w:p>
    <w:p w:rsidR="00137D18" w:rsidRPr="00137D18" w:rsidRDefault="00137D18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прийнятт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 відповідного рішення Гніванською міською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радою про визначення земельної ділянки під громадське пасовище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землевпорядна орган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ізація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виготовляє проект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із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землеустрою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щодо її відведення </w:t>
      </w:r>
      <w:r w:rsidR="00157F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зміною цільового призначення </w:t>
      </w:r>
      <w:r w:rsidR="00F45B2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метою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надання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її в оренду 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під громадське пасовище;</w:t>
      </w:r>
    </w:p>
    <w:p w:rsidR="00137D18" w:rsidRPr="00137D18" w:rsidRDefault="00913CF2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Проект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землеустрою погоджується у відповідності до законодавства та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надаєть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ся на затвердження до Гніванської міської 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ради;</w:t>
      </w:r>
    </w:p>
    <w:p w:rsidR="00DF626A" w:rsidRDefault="00137D18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затвердження проекту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13CF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землеустрою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уповноваженою особою підписується договір оренди земельної ділянки та проводиться державна реєстрація його в Державному реєстрі речових прав на нерухоме майно та їх обтяжень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  </w:t>
      </w:r>
    </w:p>
    <w:p w:rsidR="00137D18" w:rsidRPr="00137D18" w:rsidRDefault="00137D18" w:rsidP="00961A50">
      <w:pPr>
        <w:numPr>
          <w:ilvl w:val="0"/>
          <w:numId w:val="2"/>
        </w:numPr>
        <w:shd w:val="clear" w:color="auto" w:fill="FFFFFF"/>
        <w:spacing w:after="0" w:line="240" w:lineRule="auto"/>
        <w:ind w:left="300"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Лише по завершенню вищезазначеної процедури  громадські пасовища вважаються створеними.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онтроль 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 використанням  земельної ділянки за цільовим призначення, а саме для громадського пасовища,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землях комунал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ьної власності здійснює Гніванська міська</w:t>
      </w:r>
      <w:r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рада.   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left="72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left="720"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Calibri" w:eastAsia="Times New Roman" w:hAnsi="Calibri" w:cs="Arial"/>
          <w:color w:val="000000" w:themeColor="text1"/>
          <w:bdr w:val="none" w:sz="0" w:space="0" w:color="auto" w:frame="1"/>
          <w:shd w:val="clear" w:color="auto" w:fill="FFFFFF"/>
        </w:rPr>
        <w:t> </w:t>
      </w: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</w:t>
      </w:r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Секретар міської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</w:t>
      </w:r>
      <w:r w:rsidR="00137D18" w:rsidRPr="00137D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                                           </w:t>
      </w:r>
      <w:proofErr w:type="spellStart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Висідалко</w:t>
      </w:r>
      <w:proofErr w:type="spellEnd"/>
      <w:r w:rsidR="00DF626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А.Т.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F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1A50" w:rsidRDefault="00961A50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F2" w:rsidRPr="00E26BC2" w:rsidRDefault="00913CF2" w:rsidP="00961A5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913CF2" w:rsidRPr="00E26BC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ab/>
        <w:t>до рішення 5 сесії 8</w:t>
      </w:r>
    </w:p>
    <w:p w:rsidR="00913CF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скликання №  від   2021 р   </w:t>
      </w:r>
    </w:p>
    <w:p w:rsidR="00913CF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913CF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СПИСОК</w:t>
      </w:r>
    </w:p>
    <w:p w:rsidR="00913CF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Власників худоби ВРХ, які виявили бажання </w:t>
      </w:r>
    </w:p>
    <w:p w:rsidR="00913CF2" w:rsidRPr="00E26BC2" w:rsidRDefault="00913CF2" w:rsidP="00961A50">
      <w:pPr>
        <w:tabs>
          <w:tab w:val="left" w:pos="688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використовувати громадське пасовище </w:t>
      </w:r>
      <w:r w:rsidRPr="00E26BC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13CF2" w:rsidRPr="00E26BC2" w:rsidRDefault="00913CF2" w:rsidP="00961A50">
      <w:pPr>
        <w:tabs>
          <w:tab w:val="left" w:pos="7410"/>
        </w:tabs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137D18" w:rsidRPr="00137D18" w:rsidRDefault="00137D18" w:rsidP="00961A50">
      <w:pPr>
        <w:shd w:val="clear" w:color="auto" w:fill="FFFFFF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137D18" w:rsidRPr="00137D18" w:rsidRDefault="00137D18" w:rsidP="00961A50">
      <w:pPr>
        <w:shd w:val="clear" w:color="auto" w:fill="FFFFFF"/>
        <w:spacing w:line="240" w:lineRule="auto"/>
        <w:ind w:right="-1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137D18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4"/>
        <w:gridCol w:w="2193"/>
        <w:gridCol w:w="1386"/>
        <w:gridCol w:w="2129"/>
        <w:gridCol w:w="1982"/>
        <w:gridCol w:w="1333"/>
      </w:tblGrid>
      <w:tr w:rsidR="000B05C2" w:rsidTr="00325FD4">
        <w:tc>
          <w:tcPr>
            <w:tcW w:w="714" w:type="dxa"/>
          </w:tcPr>
          <w:p w:rsidR="000B05C2" w:rsidRPr="00913CF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1№</w:t>
            </w:r>
          </w:p>
        </w:tc>
        <w:tc>
          <w:tcPr>
            <w:tcW w:w="2193" w:type="dxa"/>
          </w:tcPr>
          <w:p w:rsidR="000B05C2" w:rsidRPr="00913CF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ПІБ</w:t>
            </w:r>
          </w:p>
        </w:tc>
        <w:tc>
          <w:tcPr>
            <w:tcW w:w="1386" w:type="dxa"/>
          </w:tcPr>
          <w:p w:rsidR="000B05C2" w:rsidRPr="00913CF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К-сть ВРХ</w:t>
            </w:r>
          </w:p>
        </w:tc>
        <w:tc>
          <w:tcPr>
            <w:tcW w:w="2129" w:type="dxa"/>
          </w:tcPr>
          <w:p w:rsidR="000B05C2" w:rsidRPr="000B05C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Адреса проживання</w:t>
            </w:r>
          </w:p>
        </w:tc>
        <w:tc>
          <w:tcPr>
            <w:tcW w:w="1982" w:type="dxa"/>
          </w:tcPr>
          <w:p w:rsidR="000B05C2" w:rsidRPr="000B05C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Інде</w:t>
            </w:r>
            <w:r w:rsidR="00961A50">
              <w:rPr>
                <w:color w:val="000000" w:themeColor="text1"/>
                <w:lang w:val="uk-UA"/>
              </w:rPr>
              <w:t>нти</w:t>
            </w:r>
            <w:r>
              <w:rPr>
                <w:color w:val="000000" w:themeColor="text1"/>
                <w:lang w:val="uk-UA"/>
              </w:rPr>
              <w:t>фікаційний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код</w:t>
            </w:r>
          </w:p>
        </w:tc>
        <w:tc>
          <w:tcPr>
            <w:tcW w:w="1333" w:type="dxa"/>
          </w:tcPr>
          <w:p w:rsidR="000B05C2" w:rsidRDefault="000B05C2" w:rsidP="00961A50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Прим.</w:t>
            </w: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bookmarkStart w:id="0" w:name="_GoBack" w:colFirst="3" w:colLast="4"/>
            <w:r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О.О.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.</w:t>
            </w:r>
            <w:proofErr w:type="spellStart"/>
            <w:r>
              <w:rPr>
                <w:color w:val="000000" w:themeColor="text1"/>
                <w:lang w:val="uk-UA"/>
              </w:rPr>
              <w:t>Долинський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О.С.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Сімкова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Н.І.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Остапчук В.С.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Скорик Г.М.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Дацюк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Мазур М.А.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Н.М.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А.В.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Знаміровський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Мельник О.В.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Г.П.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Калінчук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В.М.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Бабій Л.В.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Скиба М.І.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Булгаков В.О.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М.І.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Рябчинський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Ю.В.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Горова З.М.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Свідерський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Кухар Н.П.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Сідлак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Н.В.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Озорянська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25.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Дідоренко</w:t>
            </w:r>
            <w:proofErr w:type="spellEnd"/>
            <w:r>
              <w:rPr>
                <w:color w:val="000000" w:themeColor="text1"/>
                <w:lang w:val="uk-UA"/>
              </w:rPr>
              <w:t xml:space="preserve"> Л.Л.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26.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Зімбовський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В.В.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27.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Франчук В.П.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28.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Журбелюк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О.М.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tr w:rsidR="00325FD4" w:rsidTr="00325FD4">
        <w:tc>
          <w:tcPr>
            <w:tcW w:w="714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29.</w:t>
            </w:r>
          </w:p>
        </w:tc>
        <w:tc>
          <w:tcPr>
            <w:tcW w:w="219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Заводовський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Т.Й.</w:t>
            </w:r>
          </w:p>
        </w:tc>
        <w:tc>
          <w:tcPr>
            <w:tcW w:w="1386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29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982" w:type="dxa"/>
          </w:tcPr>
          <w:p w:rsidR="00325FD4" w:rsidRDefault="00325FD4" w:rsidP="00325FD4">
            <w:r w:rsidRPr="00BD7C2A">
              <w:rPr>
                <w:color w:val="000000" w:themeColor="text1"/>
                <w:lang w:val="uk-UA"/>
              </w:rPr>
              <w:t>…….</w:t>
            </w:r>
          </w:p>
        </w:tc>
        <w:tc>
          <w:tcPr>
            <w:tcW w:w="1333" w:type="dxa"/>
          </w:tcPr>
          <w:p w:rsidR="00325FD4" w:rsidRDefault="00325FD4" w:rsidP="00325FD4">
            <w:pPr>
              <w:ind w:right="-1"/>
              <w:rPr>
                <w:color w:val="000000" w:themeColor="text1"/>
                <w:lang w:val="uk-UA"/>
              </w:rPr>
            </w:pPr>
          </w:p>
        </w:tc>
      </w:tr>
      <w:bookmarkEnd w:id="0"/>
    </w:tbl>
    <w:p w:rsidR="006C6BF9" w:rsidRDefault="006C6BF9" w:rsidP="00961A50">
      <w:pPr>
        <w:pStyle w:val="a3"/>
        <w:spacing w:before="0" w:beforeAutospacing="0" w:after="251" w:afterAutospacing="0"/>
        <w:ind w:right="-1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961A50">
      <w:pPr>
        <w:pStyle w:val="a3"/>
        <w:spacing w:before="0" w:beforeAutospacing="0" w:after="251" w:afterAutospacing="0"/>
        <w:ind w:right="-1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961A50" w:rsidRDefault="00961A50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C6BF9" w:rsidRDefault="006C6BF9" w:rsidP="006C6BF9">
      <w:pPr>
        <w:pStyle w:val="a3"/>
        <w:spacing w:before="0" w:beforeAutospacing="0" w:after="251" w:afterAutospacing="0"/>
        <w:jc w:val="both"/>
        <w:rPr>
          <w:color w:val="000000" w:themeColor="text1"/>
          <w:sz w:val="28"/>
          <w:szCs w:val="28"/>
          <w:lang w:val="uk-UA"/>
        </w:rPr>
      </w:pPr>
    </w:p>
    <w:sectPr w:rsidR="006C6BF9" w:rsidSect="00961A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767B0"/>
    <w:multiLevelType w:val="multilevel"/>
    <w:tmpl w:val="E78E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C03883"/>
    <w:multiLevelType w:val="multilevel"/>
    <w:tmpl w:val="577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7D18"/>
    <w:rsid w:val="000B05C2"/>
    <w:rsid w:val="00137D18"/>
    <w:rsid w:val="00157F07"/>
    <w:rsid w:val="001770B8"/>
    <w:rsid w:val="002320DD"/>
    <w:rsid w:val="00325FD4"/>
    <w:rsid w:val="00590390"/>
    <w:rsid w:val="006C6BF9"/>
    <w:rsid w:val="00755371"/>
    <w:rsid w:val="007E72F2"/>
    <w:rsid w:val="0082034C"/>
    <w:rsid w:val="00822DE1"/>
    <w:rsid w:val="00913CF2"/>
    <w:rsid w:val="00961A50"/>
    <w:rsid w:val="009662A6"/>
    <w:rsid w:val="00BD6301"/>
    <w:rsid w:val="00CB2C3F"/>
    <w:rsid w:val="00D52613"/>
    <w:rsid w:val="00DC4D0A"/>
    <w:rsid w:val="00DF626A"/>
    <w:rsid w:val="00E26BC2"/>
    <w:rsid w:val="00F4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CD0827"/>
  <w15:docId w15:val="{3054C893-A559-41C9-9B4F-02853851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7D18"/>
  </w:style>
  <w:style w:type="paragraph" w:styleId="a4">
    <w:name w:val="Balloon Text"/>
    <w:basedOn w:val="a"/>
    <w:link w:val="a5"/>
    <w:uiPriority w:val="99"/>
    <w:semiHidden/>
    <w:unhideWhenUsed/>
    <w:rsid w:val="0013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37D18"/>
    <w:pPr>
      <w:ind w:left="720"/>
      <w:contextualSpacing/>
    </w:pPr>
  </w:style>
  <w:style w:type="table" w:styleId="a7">
    <w:name w:val="Table Grid"/>
    <w:basedOn w:val="a1"/>
    <w:uiPriority w:val="59"/>
    <w:rsid w:val="00913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C8F0-32DC-4B02-BF95-1CDB0D8F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10</cp:revision>
  <cp:lastPrinted>2021-05-16T07:53:00Z</cp:lastPrinted>
  <dcterms:created xsi:type="dcterms:W3CDTF">2021-05-16T06:11:00Z</dcterms:created>
  <dcterms:modified xsi:type="dcterms:W3CDTF">2021-06-03T06:37:00Z</dcterms:modified>
</cp:coreProperties>
</file>